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DF5" w:rsidRDefault="00A20281">
      <w:pPr>
        <w:pStyle w:val="Ttulo2"/>
        <w:numPr>
          <w:ilvl w:val="0"/>
          <w:numId w:val="1"/>
        </w:numPr>
      </w:pPr>
      <w:bookmarkStart w:id="0" w:name="_heading=h.in2jzbbfy5p5" w:colFirst="0" w:colLast="0"/>
      <w:bookmarkEnd w:id="0"/>
      <w:r>
        <w:rPr>
          <w:color w:val="000000"/>
        </w:rPr>
        <w:t>Alineación con los Objetivos de Desarrollo Sostenible</w:t>
      </w:r>
    </w:p>
    <w:p w:rsidR="009E4DF5" w:rsidRDefault="00A20281">
      <w:pPr>
        <w:rPr>
          <w:color w:val="6AA84F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128611</wp:posOffset>
            </wp:positionV>
            <wp:extent cx="592455" cy="384295"/>
            <wp:effectExtent l="0" t="0" r="0" b="0"/>
            <wp:wrapSquare wrapText="bothSides" distT="114300" distB="114300" distL="114300" distR="114300"/>
            <wp:docPr id="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384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4DF5" w:rsidRDefault="00A20281">
      <w:pPr>
        <w:rPr>
          <w:rFonts w:ascii="Arial" w:eastAsia="Arial" w:hAnsi="Arial" w:cs="Arial"/>
          <w:b/>
          <w:bCs/>
          <w:color w:val="6AA84F"/>
          <w:sz w:val="28"/>
          <w:szCs w:val="28"/>
        </w:rPr>
      </w:pPr>
      <w:r>
        <w:rPr>
          <w:rFonts w:ascii="Arial" w:eastAsia="Arial" w:hAnsi="Arial" w:cs="Arial"/>
          <w:b/>
          <w:bCs/>
          <w:color w:val="6AA84F"/>
          <w:sz w:val="28"/>
          <w:szCs w:val="28"/>
        </w:rPr>
        <w:t>Eje 1. Formación de calidad para la vida</w:t>
      </w:r>
    </w:p>
    <w:tbl>
      <w:tblPr>
        <w:tblStyle w:val="afffffffffb"/>
        <w:tblW w:w="9825" w:type="dxa"/>
        <w:tblInd w:w="-5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3960"/>
        <w:gridCol w:w="3615"/>
      </w:tblGrid>
      <w:tr w:rsidR="009E4DF5">
        <w:trPr>
          <w:trHeight w:val="420"/>
          <w:tblHeader/>
        </w:trPr>
        <w:tc>
          <w:tcPr>
            <w:tcW w:w="2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AD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E4DF5" w:rsidRDefault="00A20281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Temática</w:t>
            </w:r>
          </w:p>
        </w:tc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AD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E4DF5" w:rsidRDefault="00A20281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ODS relacionados</w:t>
            </w:r>
          </w:p>
        </w:tc>
        <w:tc>
          <w:tcPr>
            <w:tcW w:w="3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EAD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E4DF5" w:rsidRDefault="00A20281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Contribución principal</w:t>
            </w:r>
          </w:p>
        </w:tc>
      </w:tr>
      <w:tr w:rsidR="009E4DF5">
        <w:trPr>
          <w:trHeight w:val="1005"/>
        </w:trPr>
        <w:tc>
          <w:tcPr>
            <w:tcW w:w="2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1.1 Educación para todos</w:t>
            </w:r>
          </w:p>
        </w:tc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ODS 4. Educación de calidad </w:t>
            </w:r>
          </w:p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ODS 10. Reducción de las desigualdades</w:t>
            </w:r>
          </w:p>
        </w:tc>
        <w:tc>
          <w:tcPr>
            <w:tcW w:w="3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Garantiza acceso equitativo a una educación inclusiva y de calidad para toda la comunidad.</w:t>
            </w:r>
          </w:p>
        </w:tc>
      </w:tr>
      <w:tr w:rsidR="009E4DF5">
        <w:trPr>
          <w:trHeight w:val="1020"/>
        </w:trPr>
        <w:tc>
          <w:tcPr>
            <w:tcW w:w="2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1.2 Aprender con sentido innovador y humanista</w:t>
            </w:r>
          </w:p>
        </w:tc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ODS 4. Educación de calidad </w:t>
            </w:r>
          </w:p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ODS 8. Trabajo decente y crecimiento económico </w:t>
            </w:r>
          </w:p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ODS 9. Industria, innovación e infraestructura</w:t>
            </w:r>
          </w:p>
        </w:tc>
        <w:tc>
          <w:tcPr>
            <w:tcW w:w="3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Promueve metodologías activas, pensamiento crítico y competencias digitales alineadas con la innovación y el desarrollo sustentable.</w:t>
            </w:r>
          </w:p>
        </w:tc>
      </w:tr>
      <w:tr w:rsidR="009E4DF5">
        <w:trPr>
          <w:trHeight w:val="840"/>
        </w:trPr>
        <w:tc>
          <w:tcPr>
            <w:tcW w:w="2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1.3 Conectad</w:t>
            </w:r>
            <w:bookmarkStart w:id="1" w:name="_GoBack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os al mundo</w:t>
            </w:r>
          </w:p>
        </w:tc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ODS 4. Educación de calidad</w:t>
            </w:r>
          </w:p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ODS 17. Alianzas para lograr los objetivos</w:t>
            </w:r>
          </w:p>
        </w:tc>
        <w:tc>
          <w:tcPr>
            <w:tcW w:w="3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Fomenta la internacionalización del conocimiento, la movilidad académica y la colaboración global.</w:t>
            </w:r>
          </w:p>
        </w:tc>
      </w:tr>
      <w:tr w:rsidR="009E4DF5">
        <w:trPr>
          <w:trHeight w:val="990"/>
        </w:trPr>
        <w:tc>
          <w:tcPr>
            <w:tcW w:w="2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1.4 Formación integral</w:t>
            </w:r>
          </w:p>
        </w:tc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ODS 3. Salud y bienestar </w:t>
            </w:r>
          </w:p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ODS 4. Educación de calidad </w:t>
            </w:r>
          </w:p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ODS 5. Igualdad de género</w:t>
            </w:r>
          </w:p>
        </w:tc>
        <w:tc>
          <w:tcPr>
            <w:tcW w:w="3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Desarrolla capacidades cognitivas, emocionales, éticas y sociales para la vida y el trabajo, integrando la equidad y el bienestar.</w:t>
            </w:r>
          </w:p>
        </w:tc>
      </w:tr>
      <w:tr w:rsidR="009E4DF5">
        <w:trPr>
          <w:trHeight w:val="945"/>
        </w:trPr>
        <w:tc>
          <w:tcPr>
            <w:tcW w:w="2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1.5 De la vida universitaria a la profesional</w:t>
            </w:r>
          </w:p>
        </w:tc>
        <w:tc>
          <w:tcPr>
            <w:tcW w:w="3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ODS 4. Educación de calidad </w:t>
            </w:r>
          </w:p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ODS 8. Trabajo decente y crecimiento económico</w:t>
            </w:r>
          </w:p>
        </w:tc>
        <w:tc>
          <w:tcPr>
            <w:tcW w:w="3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</w:t>
            </w:r>
            <w:r>
              <w:rPr>
                <w:rFonts w:ascii="Arial" w:eastAsia="Arial" w:hAnsi="Arial" w:cs="Arial"/>
                <w:sz w:val="20"/>
                <w:szCs w:val="20"/>
              </w:rPr>
              <w:t>cilita la transición de los estudiantes al ámbito laboral, fortaleciendo su empleabilidad y emprendimiento responsable.</w:t>
            </w:r>
          </w:p>
        </w:tc>
      </w:tr>
    </w:tbl>
    <w:p w:rsidR="009E4DF5" w:rsidRDefault="00A20281">
      <w:pPr>
        <w:rPr>
          <w:rFonts w:ascii="Arial" w:eastAsia="Arial" w:hAnsi="Arial" w:cs="Arial"/>
          <w:b/>
          <w:bCs/>
          <w:color w:val="1497BA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95252</wp:posOffset>
            </wp:positionH>
            <wp:positionV relativeFrom="paragraph">
              <wp:posOffset>361950</wp:posOffset>
            </wp:positionV>
            <wp:extent cx="716280" cy="466725"/>
            <wp:effectExtent l="0" t="0" r="0" b="0"/>
            <wp:wrapSquare wrapText="bothSides" distT="114300" distB="114300" distL="114300" distR="114300"/>
            <wp:docPr id="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4DF5" w:rsidRDefault="009E4DF5">
      <w:pPr>
        <w:rPr>
          <w:rFonts w:ascii="Arial" w:eastAsia="Arial" w:hAnsi="Arial" w:cs="Arial"/>
          <w:b/>
          <w:bCs/>
          <w:color w:val="1497BA"/>
          <w:sz w:val="28"/>
          <w:szCs w:val="28"/>
        </w:rPr>
      </w:pPr>
    </w:p>
    <w:p w:rsidR="009E4DF5" w:rsidRDefault="009E4DF5">
      <w:pPr>
        <w:rPr>
          <w:rFonts w:ascii="Arial" w:eastAsia="Arial" w:hAnsi="Arial" w:cs="Arial"/>
          <w:b/>
          <w:bCs/>
          <w:color w:val="1497BA"/>
          <w:sz w:val="28"/>
          <w:szCs w:val="28"/>
        </w:rPr>
      </w:pPr>
    </w:p>
    <w:p w:rsidR="009E4DF5" w:rsidRDefault="00A20281">
      <w:pPr>
        <w:rPr>
          <w:rFonts w:ascii="Arial" w:eastAsia="Arial" w:hAnsi="Arial" w:cs="Arial"/>
          <w:b/>
          <w:bCs/>
          <w:color w:val="1497BA"/>
          <w:sz w:val="28"/>
          <w:szCs w:val="28"/>
        </w:rPr>
      </w:pPr>
      <w:r>
        <w:rPr>
          <w:rFonts w:ascii="Arial" w:eastAsia="Arial" w:hAnsi="Arial" w:cs="Arial"/>
          <w:b/>
          <w:bCs/>
          <w:color w:val="1497BA"/>
          <w:sz w:val="28"/>
          <w:szCs w:val="28"/>
        </w:rPr>
        <w:t>Eje 2. Generar conocimiento</w:t>
      </w:r>
    </w:p>
    <w:sdt>
      <w:sdtPr>
        <w:tag w:val="goog_rdk_0"/>
        <w:id w:val="-1504262104"/>
        <w:lock w:val="contentLocked"/>
      </w:sdtPr>
      <w:sdtEndPr/>
      <w:sdtContent>
        <w:tbl>
          <w:tblPr>
            <w:tblStyle w:val="afffffffffc"/>
            <w:tblW w:w="9840" w:type="dxa"/>
            <w:tblInd w:w="-57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280"/>
            <w:gridCol w:w="3945"/>
            <w:gridCol w:w="3615"/>
          </w:tblGrid>
          <w:tr w:rsidR="009E4DF5">
            <w:trPr>
              <w:trHeight w:val="420"/>
              <w:tblHeader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C9DAF8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Temática</w:t>
                </w:r>
              </w:p>
            </w:tc>
            <w:tc>
              <w:tcPr>
                <w:tcW w:w="394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C9DAF8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ODS relacionados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C9DAF8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Contribución principal</w:t>
                </w:r>
              </w:p>
            </w:tc>
          </w:tr>
          <w:tr w:rsidR="009E4DF5">
            <w:trPr>
              <w:trHeight w:val="1005"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2.1 Investigar para transformar</w:t>
                </w:r>
              </w:p>
            </w:tc>
            <w:tc>
              <w:tcPr>
                <w:tcW w:w="394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4. Educación de calidad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9. Industria, innovación e infraestructura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17. Alianzas para lograr los objetivos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Fomenta la investigación científica y aplicada orientada a la solución de problemáticas sociales, ambientales y económicas.</w:t>
                </w:r>
              </w:p>
            </w:tc>
          </w:tr>
          <w:tr w:rsidR="009E4DF5">
            <w:trPr>
              <w:trHeight w:val="1020"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2.2 Compartir saberes y tecnología</w:t>
                </w:r>
              </w:p>
            </w:tc>
            <w:tc>
              <w:tcPr>
                <w:tcW w:w="394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4. Educación de calidad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9. Industria, innovación e infraestructura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8. Trabajo decente y crecimiento económico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17. Alianzas para lograr los objetivos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Promueve la transferencia de conocimiento y tecnología entre la universidad y los sectores productivos, fortaleciendo la innovación sostenible.</w:t>
                </w:r>
              </w:p>
            </w:tc>
          </w:tr>
          <w:tr w:rsidR="009E4DF5">
            <w:trPr>
              <w:trHeight w:val="840"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lastRenderedPageBreak/>
                  <w:t>2.3 Crear emprendedores</w:t>
                </w:r>
              </w:p>
            </w:tc>
            <w:tc>
              <w:tcPr>
                <w:tcW w:w="394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4. Educación de calidad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8. Trabajo decente y crecimiento económico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9. Industria, innovación e infraestructura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Desarrolla capacidades emprendedoras con sentido social, fomentando proyectos que generen bienestar y empleo digno.</w:t>
                </w:r>
              </w:p>
            </w:tc>
          </w:tr>
        </w:tbl>
      </w:sdtContent>
    </w:sdt>
    <w:p w:rsidR="009E4DF5" w:rsidRDefault="009E4DF5">
      <w:pPr>
        <w:rPr>
          <w:rFonts w:ascii="Arial" w:eastAsia="Arial" w:hAnsi="Arial" w:cs="Arial"/>
          <w:b/>
          <w:bCs/>
          <w:color w:val="F1C232"/>
        </w:rPr>
      </w:pPr>
    </w:p>
    <w:p w:rsidR="009E4DF5" w:rsidRDefault="00A20281">
      <w:pPr>
        <w:widowControl w:val="0"/>
        <w:spacing w:after="240" w:line="275" w:lineRule="auto"/>
        <w:jc w:val="both"/>
        <w:rPr>
          <w:rFonts w:ascii="Arial" w:eastAsia="Arial" w:hAnsi="Arial" w:cs="Arial"/>
          <w:b/>
          <w:bCs/>
          <w:color w:val="F1C232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color w:val="F1C232"/>
          <w:sz w:val="28"/>
          <w:szCs w:val="28"/>
        </w:rPr>
        <w:drawing>
          <wp:inline distT="114300" distB="114300" distL="114300" distR="114300">
            <wp:extent cx="601980" cy="577575"/>
            <wp:effectExtent l="0" t="0" r="0" b="0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57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F1C232"/>
          <w:sz w:val="28"/>
          <w:szCs w:val="28"/>
        </w:rPr>
        <w:t>Eje 3. De la mano con la sociedad</w:t>
      </w:r>
    </w:p>
    <w:sdt>
      <w:sdtPr>
        <w:tag w:val="goog_rdk_1"/>
        <w:id w:val="-666630922"/>
        <w:lock w:val="contentLocked"/>
      </w:sdtPr>
      <w:sdtEndPr/>
      <w:sdtContent>
        <w:tbl>
          <w:tblPr>
            <w:tblStyle w:val="afffffffffd"/>
            <w:tblW w:w="9855" w:type="dxa"/>
            <w:tblInd w:w="-58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280"/>
            <w:gridCol w:w="3960"/>
            <w:gridCol w:w="3615"/>
          </w:tblGrid>
          <w:tr w:rsidR="009E4DF5">
            <w:trPr>
              <w:trHeight w:val="420"/>
              <w:tblHeader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FFF2CC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Temática</w:t>
                </w:r>
              </w:p>
            </w:tc>
            <w:tc>
              <w:tcPr>
                <w:tcW w:w="396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FFF2CC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ODS relacionados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FFF2CC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Contribución principal</w:t>
                </w:r>
              </w:p>
            </w:tc>
          </w:tr>
          <w:tr w:rsidR="009E4DF5">
            <w:trPr>
              <w:trHeight w:val="1005"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3.1 Cercanos con la sociedad</w:t>
                </w:r>
              </w:p>
            </w:tc>
            <w:tc>
              <w:tcPr>
                <w:tcW w:w="396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1. Fin de la pobreza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2. Hambre cero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4. Educación de calidad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10. Reducción de las desigualdades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11. Ciudades y comunidades sostenibles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Fortalece los vínculos entre la universidad y la comunidad mediante programas de extensión, inclusión y bienestar social.</w:t>
                </w:r>
              </w:p>
              <w:p w:rsidR="009E4DF5" w:rsidRDefault="009E4DF5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9E4DF5">
            <w:trPr>
              <w:trHeight w:val="1020"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3.2 Alianzas que construyen</w:t>
                </w:r>
              </w:p>
            </w:tc>
            <w:tc>
              <w:tcPr>
                <w:tcW w:w="396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4. Educación de calidad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16. Paz, justicia e instituciones sólidas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17. Alianzas para lograr los objetivos 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Promueve redes colaborativas con gobiernos, empresas y sociedad civil para construir soluciones.</w:t>
                </w:r>
              </w:p>
            </w:tc>
          </w:tr>
          <w:tr w:rsidR="009E4DF5">
            <w:trPr>
              <w:trHeight w:val="840"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3.3 Universidad verde</w:t>
                </w:r>
              </w:p>
            </w:tc>
            <w:tc>
              <w:tcPr>
                <w:tcW w:w="396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4. Educación de calidad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6. Agua limpia y saneamiento ODS 7. Energía asequible y no contaminante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12. Producción y consumo responsables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13. Acción por el clima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14. Vida submarina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15. Vida de ecosistemas terrestres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Incorpora la sostenibilidad ambiental en todas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las funciones universitarias, fomentando la gestión responsable de recursos y la acción climática.</w:t>
                </w:r>
              </w:p>
            </w:tc>
          </w:tr>
        </w:tbl>
      </w:sdtContent>
    </w:sdt>
    <w:p w:rsidR="009E4DF5" w:rsidRDefault="00A20281">
      <w:pPr>
        <w:rPr>
          <w:rFonts w:ascii="Arial" w:eastAsia="Arial" w:hAnsi="Arial" w:cs="Arial"/>
          <w:b/>
          <w:bCs/>
          <w:color w:val="A64D79"/>
          <w:sz w:val="28"/>
          <w:szCs w:val="28"/>
        </w:rPr>
      </w:pPr>
      <w:r>
        <w:br w:type="page"/>
      </w:r>
    </w:p>
    <w:p w:rsidR="009E4DF5" w:rsidRDefault="00A20281">
      <w:pPr>
        <w:rPr>
          <w:rFonts w:ascii="Arial" w:eastAsia="Arial" w:hAnsi="Arial" w:cs="Arial"/>
          <w:b/>
          <w:bCs/>
          <w:color w:val="A64D79"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114300</wp:posOffset>
            </wp:positionV>
            <wp:extent cx="552450" cy="523030"/>
            <wp:effectExtent l="0" t="0" r="0" b="0"/>
            <wp:wrapSquare wrapText="bothSides" distT="114300" distB="114300" distL="114300" distR="114300"/>
            <wp:docPr id="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23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4DF5" w:rsidRDefault="00A20281">
      <w:pPr>
        <w:rPr>
          <w:rFonts w:ascii="Arial" w:eastAsia="Arial" w:hAnsi="Arial" w:cs="Arial"/>
          <w:b/>
          <w:bCs/>
          <w:color w:val="A64D79"/>
          <w:sz w:val="28"/>
          <w:szCs w:val="28"/>
        </w:rPr>
      </w:pPr>
      <w:r>
        <w:rPr>
          <w:rFonts w:ascii="Arial" w:eastAsia="Arial" w:hAnsi="Arial" w:cs="Arial"/>
          <w:b/>
          <w:bCs/>
          <w:color w:val="A64D79"/>
          <w:sz w:val="28"/>
          <w:szCs w:val="28"/>
        </w:rPr>
        <w:t>Eje 4. Cultura que nos une</w:t>
      </w:r>
    </w:p>
    <w:p w:rsidR="009E4DF5" w:rsidRDefault="009E4DF5">
      <w:pPr>
        <w:rPr>
          <w:rFonts w:ascii="Arial" w:eastAsia="Arial" w:hAnsi="Arial" w:cs="Arial"/>
          <w:b/>
          <w:bCs/>
          <w:color w:val="A64D79"/>
          <w:sz w:val="28"/>
          <w:szCs w:val="28"/>
        </w:rPr>
      </w:pPr>
    </w:p>
    <w:sdt>
      <w:sdtPr>
        <w:tag w:val="goog_rdk_2"/>
        <w:id w:val="1724785601"/>
        <w:lock w:val="contentLocked"/>
      </w:sdtPr>
      <w:sdtEndPr/>
      <w:sdtContent>
        <w:tbl>
          <w:tblPr>
            <w:tblStyle w:val="afffffffffe"/>
            <w:tblW w:w="9840" w:type="dxa"/>
            <w:tblInd w:w="-57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280"/>
            <w:gridCol w:w="3945"/>
            <w:gridCol w:w="3615"/>
          </w:tblGrid>
          <w:tr w:rsidR="009E4DF5">
            <w:trPr>
              <w:trHeight w:val="420"/>
              <w:tblHeader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C27BA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Temática</w:t>
                </w:r>
              </w:p>
            </w:tc>
            <w:tc>
              <w:tcPr>
                <w:tcW w:w="394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C27BA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ODS relacionados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C27BA0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Contribución principal</w:t>
                </w:r>
              </w:p>
            </w:tc>
          </w:tr>
          <w:tr w:rsidR="009E4DF5">
            <w:trPr>
              <w:trHeight w:val="1005"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4.1 Bienestar universitario</w:t>
                </w:r>
              </w:p>
            </w:tc>
            <w:tc>
              <w:tcPr>
                <w:tcW w:w="394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3. Salud y bienestar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4. Educación de calidad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5. Igualdad de género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10. Reducción de las desigualdades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11. Ciudades y comunidades sostenibles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16. Paz, justicia e instituciones sólidas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Promueve entornos universitarios saludables, seguros e inclusivos que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favorecen la equidad, la convivencia y la cultura de paz.</w:t>
                </w:r>
              </w:p>
            </w:tc>
          </w:tr>
          <w:tr w:rsidR="009E4DF5">
            <w:trPr>
              <w:trHeight w:val="1020"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4.2 Cultura para todos</w:t>
                </w:r>
              </w:p>
            </w:tc>
            <w:tc>
              <w:tcPr>
                <w:tcW w:w="394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4. Educación de calidad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10. Reducción de las desigualdades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11. Ciudades y comunidades sostenibles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16. Paz, justicia e instituciones sólidas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Garantiza el acceso equitativo a la cultura y fortalece la identidad universitaria como espacio de diversidad y cohesión social.</w:t>
                </w:r>
              </w:p>
            </w:tc>
          </w:tr>
          <w:tr w:rsidR="009E4DF5">
            <w:trPr>
              <w:trHeight w:val="840"/>
            </w:trPr>
            <w:tc>
              <w:tcPr>
                <w:tcW w:w="228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4.3 Creatividad artística</w:t>
                </w:r>
              </w:p>
            </w:tc>
            <w:tc>
              <w:tcPr>
                <w:tcW w:w="394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4. Educación de calidad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8. Trabajo decente y crecimiento económico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9. Industria, innovación e infraestructura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Impulsa la creatividad y la producción artística como medios de transformación social y cultural.</w:t>
                </w:r>
              </w:p>
            </w:tc>
          </w:tr>
        </w:tbl>
      </w:sdtContent>
    </w:sdt>
    <w:p w:rsidR="009E4DF5" w:rsidRDefault="00A20281">
      <w:pPr>
        <w:rPr>
          <w:rFonts w:ascii="Arial" w:eastAsia="Arial" w:hAnsi="Arial" w:cs="Arial"/>
          <w:b/>
          <w:bCs/>
          <w:color w:val="A64D79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361950</wp:posOffset>
            </wp:positionV>
            <wp:extent cx="609600" cy="556571"/>
            <wp:effectExtent l="0" t="0" r="0" b="0"/>
            <wp:wrapSquare wrapText="bothSides" distT="114300" distB="114300" distL="114300" distR="114300"/>
            <wp:docPr id="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56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4DF5" w:rsidRDefault="009E4DF5">
      <w:pPr>
        <w:widowControl w:val="0"/>
        <w:spacing w:after="240" w:line="275" w:lineRule="auto"/>
        <w:jc w:val="both"/>
        <w:rPr>
          <w:rFonts w:ascii="Arial" w:eastAsia="Arial" w:hAnsi="Arial" w:cs="Arial"/>
          <w:b/>
          <w:bCs/>
          <w:color w:val="E69138"/>
          <w:sz w:val="28"/>
          <w:szCs w:val="28"/>
        </w:rPr>
      </w:pPr>
    </w:p>
    <w:p w:rsidR="009E4DF5" w:rsidRDefault="00A20281">
      <w:pPr>
        <w:widowControl w:val="0"/>
        <w:spacing w:after="240" w:line="275" w:lineRule="auto"/>
        <w:jc w:val="both"/>
        <w:rPr>
          <w:rFonts w:ascii="Arial" w:eastAsia="Arial" w:hAnsi="Arial" w:cs="Arial"/>
          <w:b/>
          <w:bCs/>
          <w:color w:val="E69138"/>
          <w:sz w:val="28"/>
          <w:szCs w:val="28"/>
        </w:rPr>
      </w:pPr>
      <w:r>
        <w:rPr>
          <w:rFonts w:ascii="Arial" w:eastAsia="Arial" w:hAnsi="Arial" w:cs="Arial"/>
          <w:b/>
          <w:bCs/>
          <w:color w:val="E69138"/>
          <w:sz w:val="28"/>
          <w:szCs w:val="28"/>
        </w:rPr>
        <w:t>Eje 5. Gestión que construye</w:t>
      </w:r>
    </w:p>
    <w:sdt>
      <w:sdtPr>
        <w:tag w:val="goog_rdk_3"/>
        <w:id w:val="-1937463502"/>
        <w:lock w:val="contentLocked"/>
      </w:sdtPr>
      <w:sdtEndPr/>
      <w:sdtContent>
        <w:tbl>
          <w:tblPr>
            <w:tblStyle w:val="affffffffff"/>
            <w:tblW w:w="9840" w:type="dxa"/>
            <w:tblInd w:w="-57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295"/>
            <w:gridCol w:w="3930"/>
            <w:gridCol w:w="3615"/>
          </w:tblGrid>
          <w:tr w:rsidR="009E4DF5">
            <w:trPr>
              <w:trHeight w:val="420"/>
              <w:tblHeader/>
            </w:trPr>
            <w:tc>
              <w:tcPr>
                <w:tcW w:w="229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F6B26B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Temática</w:t>
                </w:r>
              </w:p>
            </w:tc>
            <w:tc>
              <w:tcPr>
                <w:tcW w:w="393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F6B26B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ODS relacionados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shd w:val="clear" w:color="auto" w:fill="F6B26B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="009E4DF5" w:rsidRDefault="00A20281">
                <w:pPr>
                  <w:spacing w:after="0" w:line="276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Contribución principal</w:t>
                </w:r>
              </w:p>
            </w:tc>
          </w:tr>
          <w:tr w:rsidR="009E4DF5">
            <w:trPr>
              <w:trHeight w:val="1005"/>
            </w:trPr>
            <w:tc>
              <w:tcPr>
                <w:tcW w:w="229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5.1 Gobernanza universitaria</w:t>
                </w:r>
              </w:p>
            </w:tc>
            <w:tc>
              <w:tcPr>
                <w:tcW w:w="393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16. Paz, justicia e instituciones sólidas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17. Alianzas para lograr los objetivos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Promueve una gestión ética, transparente y participativa orientada a la rendición de cuentas.</w:t>
                </w:r>
              </w:p>
            </w:tc>
          </w:tr>
          <w:tr w:rsidR="009E4DF5">
            <w:trPr>
              <w:trHeight w:val="1020"/>
            </w:trPr>
            <w:tc>
              <w:tcPr>
                <w:tcW w:w="229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5.2 Profesionalizar para transformar</w:t>
                </w:r>
              </w:p>
            </w:tc>
            <w:tc>
              <w:tcPr>
                <w:tcW w:w="393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4. Educación de calidad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8. Trabajo decente y crecimiento económico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9. Industria, innovación e infraestructura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17. Alianzas para lograr los objetivos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Fortalece las capacidades profesionales y la innovación institucional para mejorar la cal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idad educativa y la transformación social.</w:t>
                </w:r>
              </w:p>
            </w:tc>
          </w:tr>
          <w:tr w:rsidR="009E4DF5">
            <w:trPr>
              <w:trHeight w:val="840"/>
            </w:trPr>
            <w:tc>
              <w:tcPr>
                <w:tcW w:w="229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5.3 Gestión para resultados</w:t>
                </w:r>
              </w:p>
            </w:tc>
            <w:tc>
              <w:tcPr>
                <w:tcW w:w="393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ODS 4. Educación de calidad 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8. Trabajo decente y crecimiento económico</w:t>
                </w:r>
              </w:p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ODS 9. Industria, innovación e infraestructura</w:t>
                </w:r>
              </w:p>
            </w:tc>
            <w:tc>
              <w:tcPr>
                <w:tcW w:w="3615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:rsidR="009E4DF5" w:rsidRDefault="00A20281">
                <w:pPr>
                  <w:widowControl w:val="0"/>
                  <w:spacing w:after="0"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Fomenta una cultura de evaluación y mejora continua que garantice eficacia, eficiencia y sostenibilidad institucional.</w:t>
                </w:r>
              </w:p>
            </w:tc>
          </w:tr>
        </w:tbl>
      </w:sdtContent>
    </w:sdt>
    <w:p w:rsidR="009E4DF5" w:rsidRDefault="00A20281">
      <w:pPr>
        <w:pStyle w:val="Ttulo2"/>
        <w:numPr>
          <w:ilvl w:val="0"/>
          <w:numId w:val="1"/>
        </w:numPr>
        <w:jc w:val="both"/>
      </w:pPr>
      <w:bookmarkStart w:id="2" w:name="_heading=h.dltifqy54p6g" w:colFirst="0" w:colLast="0"/>
      <w:bookmarkEnd w:id="2"/>
      <w:r>
        <w:rPr>
          <w:color w:val="000000"/>
        </w:rPr>
        <w:lastRenderedPageBreak/>
        <w:t>Alineación con el Programa Sectorial de Educación 2025-2030</w:t>
      </w:r>
    </w:p>
    <w:p w:rsidR="009E4DF5" w:rsidRDefault="009E4DF5"/>
    <w:tbl>
      <w:tblPr>
        <w:tblStyle w:val="affffffffff0"/>
        <w:tblW w:w="9765" w:type="dxa"/>
        <w:tblInd w:w="-5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1440"/>
        <w:gridCol w:w="3075"/>
        <w:gridCol w:w="3600"/>
      </w:tblGrid>
      <w:tr w:rsidR="009E4DF5">
        <w:trPr>
          <w:trHeight w:val="485"/>
          <w:tblHeader/>
        </w:trPr>
        <w:tc>
          <w:tcPr>
            <w:tcW w:w="3090" w:type="dxa"/>
            <w:gridSpan w:val="2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PDI 2025-2031</w:t>
            </w:r>
          </w:p>
        </w:tc>
        <w:tc>
          <w:tcPr>
            <w:tcW w:w="6675" w:type="dxa"/>
            <w:gridSpan w:val="2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Programa Sectorial de Educación 2025-2030</w:t>
            </w:r>
          </w:p>
        </w:tc>
      </w:tr>
      <w:tr w:rsidR="009E4DF5">
        <w:trPr>
          <w:trHeight w:val="485"/>
          <w:tblHeader/>
        </w:trPr>
        <w:tc>
          <w:tcPr>
            <w:tcW w:w="165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</w:t>
            </w:r>
          </w:p>
        </w:tc>
        <w:tc>
          <w:tcPr>
            <w:tcW w:w="144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Temática</w:t>
            </w:r>
          </w:p>
        </w:tc>
        <w:tc>
          <w:tcPr>
            <w:tcW w:w="3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Objetivo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Estrategia</w:t>
            </w:r>
          </w:p>
        </w:tc>
      </w:tr>
      <w:tr w:rsidR="009E4DF5">
        <w:trPr>
          <w:trHeight w:val="1303"/>
        </w:trPr>
        <w:tc>
          <w:tcPr>
            <w:tcW w:w="1650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 Formación de calidad para la vida</w:t>
            </w:r>
          </w:p>
        </w:tc>
        <w:tc>
          <w:tcPr>
            <w:tcW w:w="1440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1.1 Educación para todos</w:t>
            </w:r>
          </w:p>
        </w:tc>
        <w:tc>
          <w:tcPr>
            <w:tcW w:w="3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1 - Aumentar la oferta educativa a nivel nacional para reducir las brechas de acceso de niñas, niños, adolescentes, jóvenes y personas adultas a fin de avanzar hacia la igua</w:t>
            </w:r>
            <w:r>
              <w:rPr>
                <w:rFonts w:ascii="Arial" w:eastAsia="Arial" w:hAnsi="Arial" w:cs="Arial"/>
                <w:sz w:val="18"/>
                <w:szCs w:val="18"/>
              </w:rPr>
              <w:t>ldad de oportunidades de formación, sin importar el origen o contexto social.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1.2 Incrementar la oferta educativa de educación media superior en todo el país, con especial atención en territorios y poblaciones con mayor rezago social, para garantizar el ac</w:t>
            </w:r>
            <w:r>
              <w:rPr>
                <w:rFonts w:ascii="Arial" w:eastAsia="Arial" w:hAnsi="Arial" w:cs="Arial"/>
                <w:sz w:val="18"/>
                <w:szCs w:val="18"/>
              </w:rPr>
              <w:t>ceso a un mayor número de estudiantes que concluyen la educación básica.</w:t>
            </w:r>
          </w:p>
        </w:tc>
      </w:tr>
      <w:tr w:rsidR="009E4DF5">
        <w:trPr>
          <w:trHeight w:val="1020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2 - Garantizar el ingreso, permanencia y conclusión de las trayectorias educativas en todos los tipos, niveles y modalidades del sistema educativo, priorizando el interés superior de niñas, niños, adolescentes y jóvenes, a fin de contribuir a su desarrollo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integral y al bienestar de la población.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2.1 Impulsar medidas que favorezcan la continuidad de las trayectorias educativas de los estudiantes de todos los tipos y niveles educativos, a fin de incrementar la cobertura y la eficiencia terminal.</w:t>
            </w:r>
          </w:p>
        </w:tc>
      </w:tr>
      <w:tr w:rsidR="009E4DF5">
        <w:trPr>
          <w:trHeight w:val="1303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2.2 Establecer mecanismos de acompañamiento, asesoría y tutoría para estudiantes de educación básica, media superior y superior para prevenir el abandono escolar, las conductas antisociales y fomentar el desarrollo socioemocional</w:t>
            </w:r>
          </w:p>
        </w:tc>
      </w:tr>
      <w:tr w:rsidR="009E4DF5">
        <w:trPr>
          <w:trHeight w:val="1020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2.5 Fomentar que un mayor número de mujeres realicen estudios de educación superior en los campos de ingenierías, áreas científicas y de su interés, a fin de impulsar su formación y desarrollo profesional</w:t>
            </w:r>
          </w:p>
        </w:tc>
      </w:tr>
      <w:tr w:rsidR="009E4DF5">
        <w:trPr>
          <w:trHeight w:val="1020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1.2 Aprender con sentido innovador y humanista</w:t>
            </w:r>
          </w:p>
        </w:tc>
        <w:tc>
          <w:tcPr>
            <w:tcW w:w="3075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1 - Aumentar la oferta educativa a nivel nacional para reducir las brechas de acceso de niñas, niños, adolescentes, jóvenes y personas adultas a fin de avanzar hacia la igualdad de oportunidades de formación, sin importar el origen o contexto social.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1.4 E</w:t>
            </w:r>
            <w:r>
              <w:rPr>
                <w:rFonts w:ascii="Arial" w:eastAsia="Arial" w:hAnsi="Arial" w:cs="Arial"/>
                <w:sz w:val="18"/>
                <w:szCs w:val="18"/>
              </w:rPr>
              <w:t>xpandir la oferta de educación superior en los distintos campos de conocimiento y regiones del país, promoviendo diversas modalidades de atención con pertinencia cultural y social.</w:t>
            </w:r>
          </w:p>
        </w:tc>
      </w:tr>
      <w:tr w:rsidR="009E4DF5">
        <w:trPr>
          <w:trHeight w:val="1303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1.5 Consolidar opciones diferenciadas de servicios educativos, tales como educación dual y modalidades mixta, semipresencial y no escolarizada en los diferentes tipos educativos, educación para adultos y capacitación para el trabajo, que respondan a las ne</w:t>
            </w:r>
            <w:r>
              <w:rPr>
                <w:rFonts w:ascii="Arial" w:eastAsia="Arial" w:hAnsi="Arial" w:cs="Arial"/>
                <w:sz w:val="18"/>
                <w:szCs w:val="18"/>
              </w:rPr>
              <w:t>cesidades y contexto social de la población.</w:t>
            </w:r>
          </w:p>
        </w:tc>
      </w:tr>
      <w:tr w:rsidR="009E4DF5">
        <w:trPr>
          <w:trHeight w:val="1587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2 - Garantizar el ingreso, permanencia y conclusión de las trayectorias educativas en todos los tipos, niveles y modalidades del sistema educativo, priorizando el interés superior de niñas, niños, adolescentes y jóvenes, a fin de contribuir a su desarrollo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integral y al bienestar de la población.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2.6 Implementar métodos pedagógicos innovadores e inclusivos en el currículo que fortalezcan los procesos de enseñanza y aprendizaje orientados a mejorar la educación que reciben las niñas, niños, adolescentes y jó</w:t>
            </w:r>
            <w:r>
              <w:rPr>
                <w:rFonts w:ascii="Arial" w:eastAsia="Arial" w:hAnsi="Arial" w:cs="Arial"/>
                <w:sz w:val="18"/>
                <w:szCs w:val="18"/>
              </w:rPr>
              <w:t>venes</w:t>
            </w:r>
          </w:p>
        </w:tc>
      </w:tr>
      <w:tr w:rsidR="009E4DF5">
        <w:trPr>
          <w:trHeight w:val="1020"/>
        </w:trPr>
        <w:tc>
          <w:tcPr>
            <w:tcW w:w="165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 Generar conocimiento</w:t>
            </w:r>
          </w:p>
        </w:tc>
        <w:tc>
          <w:tcPr>
            <w:tcW w:w="144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2.1 Investigar para transformar</w:t>
            </w:r>
          </w:p>
        </w:tc>
        <w:tc>
          <w:tcPr>
            <w:tcW w:w="3075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2 - Garantizar el ingreso, permanencia y conclusión de las trayectorias educativas en todos los tipos, niveles y modalidades del sistema educativo, priorizando el interés superior de niñas, niñ</w:t>
            </w:r>
            <w:r>
              <w:rPr>
                <w:rFonts w:ascii="Arial" w:eastAsia="Arial" w:hAnsi="Arial" w:cs="Arial"/>
                <w:sz w:val="18"/>
                <w:szCs w:val="18"/>
              </w:rPr>
              <w:t>os, adolescentes y jóvenes, a fin de contribuir a su desarrollo integral y al bienestar de la población.</w:t>
            </w:r>
          </w:p>
        </w:tc>
        <w:tc>
          <w:tcPr>
            <w:tcW w:w="360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2.4 Impulsar la participación de los estudiantes de educación superior en el desarrollo de la investigación científica, humanística y tecnológica, cont</w:t>
            </w:r>
            <w:r>
              <w:rPr>
                <w:rFonts w:ascii="Arial" w:eastAsia="Arial" w:hAnsi="Arial" w:cs="Arial"/>
                <w:sz w:val="18"/>
                <w:szCs w:val="18"/>
              </w:rPr>
              <w:t>ribuyendo al progreso, la innovación, la ampliación de las capacidades productivas y de gestión pública del país</w:t>
            </w:r>
          </w:p>
        </w:tc>
      </w:tr>
      <w:tr w:rsidR="009E4DF5">
        <w:trPr>
          <w:trHeight w:val="907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2.2 Compartir saberes y tecnología</w:t>
            </w:r>
          </w:p>
        </w:tc>
        <w:tc>
          <w:tcPr>
            <w:tcW w:w="307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E4DF5">
        <w:trPr>
          <w:trHeight w:val="1303"/>
        </w:trPr>
        <w:tc>
          <w:tcPr>
            <w:tcW w:w="165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Eje 3. De la mano con la sociedad</w:t>
            </w:r>
          </w:p>
        </w:tc>
        <w:tc>
          <w:tcPr>
            <w:tcW w:w="144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3.1 Cercanos a la sociedad</w:t>
            </w:r>
          </w:p>
        </w:tc>
        <w:tc>
          <w:tcPr>
            <w:tcW w:w="3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1 - Aumentar la oferta educativa a nivel nacional para reducir las brechas de acceso de niñas, niños, adolescentes, jóvenes y personas adultas a fin de avanzar hacia la igualdad de oportunidades de formación, sin importar el origen o contexto social.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1.1 -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Fortalecer las oportunidades educativas para cerrar las brechas sociales y reducir las desigualdades regionales.</w:t>
            </w:r>
          </w:p>
        </w:tc>
      </w:tr>
      <w:tr w:rsidR="009E4DF5">
        <w:trPr>
          <w:trHeight w:val="737"/>
        </w:trPr>
        <w:tc>
          <w:tcPr>
            <w:tcW w:w="1650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 Cultura que nos une</w:t>
            </w:r>
          </w:p>
        </w:tc>
        <w:tc>
          <w:tcPr>
            <w:tcW w:w="1440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4.1 Bienestar universitario</w:t>
            </w:r>
          </w:p>
        </w:tc>
        <w:tc>
          <w:tcPr>
            <w:tcW w:w="3075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5 - Promover ambientes escolares inclusivos, sanos y seguros que favorezcan el aprendizaje, la convivencia y el desarrollo integral de estudiantes, personal docente, madres y padres de familia en las escuelas de los diferentes tipos, niveles y modalidades </w:t>
            </w:r>
            <w:r>
              <w:rPr>
                <w:rFonts w:ascii="Arial" w:eastAsia="Arial" w:hAnsi="Arial" w:cs="Arial"/>
                <w:sz w:val="18"/>
                <w:szCs w:val="18"/>
              </w:rPr>
              <w:t>del Sistema Educativo Nacional.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5.1 Desarrollar acciones para promover estilos de vida saludable en los distintos tipos, niveles y modalidades del sistema educativo.</w:t>
            </w:r>
          </w:p>
        </w:tc>
      </w:tr>
      <w:tr w:rsidR="009E4DF5">
        <w:trPr>
          <w:trHeight w:val="1020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spacing w:after="0" w:line="240" w:lineRule="auto"/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5.2 Impulsar programas de atención psicológica, alimentación y salud visual en las escuelas de los diferentes tipos, niveles y modalidades del sistema educativo para promover estilos de vida saludable y bienestar integral</w:t>
            </w:r>
          </w:p>
        </w:tc>
      </w:tr>
      <w:tr w:rsidR="009E4DF5">
        <w:trPr>
          <w:trHeight w:val="1303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spacing w:after="0" w:line="240" w:lineRule="auto"/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5.3 Impulsar mecanismos y campañas de cultura de paz, prevención de adicciones, violencia escolar y erradicación de cualquier tipo de discriminación para promover la sana convivencia en las escuelas y formar ciudadanos responsables</w:t>
            </w:r>
          </w:p>
        </w:tc>
      </w:tr>
      <w:tr w:rsidR="009E4DF5">
        <w:trPr>
          <w:trHeight w:val="1303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6 - Garantizar el derecho a la cultura física y a la práctica del deporte, a partir de la promoción y estímulo de la educación física a nivel nacional, el deporte comunitario y el de alto rendimiento, para fomentar la cohesión social y mejorar la salud de </w:t>
            </w:r>
            <w:r>
              <w:rPr>
                <w:rFonts w:ascii="Arial" w:eastAsia="Arial" w:hAnsi="Arial" w:cs="Arial"/>
                <w:sz w:val="18"/>
                <w:szCs w:val="18"/>
              </w:rPr>
              <w:t>la población.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6.1 Promover el desarrollo integral de niñas, niños, adolescentes y jóvenes, a través del ejercicio físico y actividades deportivas en las escuelas para mejorar su salud física y mental</w:t>
            </w:r>
          </w:p>
        </w:tc>
      </w:tr>
      <w:tr w:rsidR="009E4DF5">
        <w:trPr>
          <w:trHeight w:val="850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4.2 Cultura para todos</w:t>
            </w:r>
          </w:p>
        </w:tc>
        <w:tc>
          <w:tcPr>
            <w:tcW w:w="3075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5 - Promover ambientes escolares inclusivos, sanos y seguros que favorezcan el aprendizaje, la convivencia y el desarrollo integral de estudiantes, personal docente, madres y padres de familia en las escuelas de los diferentes tipos, niveles y modalidades </w:t>
            </w:r>
            <w:r>
              <w:rPr>
                <w:rFonts w:ascii="Arial" w:eastAsia="Arial" w:hAnsi="Arial" w:cs="Arial"/>
                <w:sz w:val="18"/>
                <w:szCs w:val="18"/>
              </w:rPr>
              <w:t>del Sistema Educativo Nacional.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5.5 Fomentar la lectura en la población para construir una sociedad más inclusiva, crítica, creativa y mejor informada.</w:t>
            </w:r>
          </w:p>
        </w:tc>
      </w:tr>
      <w:tr w:rsidR="009E4DF5">
        <w:trPr>
          <w:trHeight w:val="850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4.3 Creatividad artística</w:t>
            </w:r>
          </w:p>
        </w:tc>
        <w:tc>
          <w:tcPr>
            <w:tcW w:w="3075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5.6 Promover la educación artística, la lectura y la cultura como prácticas de disfrute y aprendizaje en beneficio de las personas y las comunidades</w:t>
            </w:r>
          </w:p>
        </w:tc>
      </w:tr>
      <w:tr w:rsidR="009E4DF5">
        <w:trPr>
          <w:trHeight w:val="1133"/>
        </w:trPr>
        <w:tc>
          <w:tcPr>
            <w:tcW w:w="1650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 Gestión que construye</w:t>
            </w:r>
          </w:p>
        </w:tc>
        <w:tc>
          <w:tcPr>
            <w:tcW w:w="144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5.1 Gobernanza universitaria</w:t>
            </w:r>
          </w:p>
        </w:tc>
        <w:tc>
          <w:tcPr>
            <w:tcW w:w="3075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3 - Fortalecer el papel de maestras y maestros como agentes de cambio en la transformación del sistema educativo a nivel nacional, impulsando su labor profesional, la formación continua, así como la vocación de servicio para mejorar la educación.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3.2 Forta</w:t>
            </w:r>
            <w:r>
              <w:rPr>
                <w:rFonts w:ascii="Arial" w:eastAsia="Arial" w:hAnsi="Arial" w:cs="Arial"/>
                <w:sz w:val="18"/>
                <w:szCs w:val="18"/>
              </w:rPr>
              <w:t>lecer la coordinación interinstitucional entre la SEP y las autoridades educativas de los estados para armonizar criterios y garantizar procesos de admisión, promoción y reconocimiento contextualmente pertinentes</w:t>
            </w:r>
          </w:p>
        </w:tc>
      </w:tr>
      <w:tr w:rsidR="009E4DF5">
        <w:trPr>
          <w:trHeight w:val="1020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5.2 Profesionalizar para transformar</w:t>
            </w:r>
          </w:p>
        </w:tc>
        <w:tc>
          <w:tcPr>
            <w:tcW w:w="3075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3.1 Impulsar un sistema transparente y equitativo de admisión, reconocimiento y promoción para los docentes en educación básica y media superior que fomente su desarrollo profesional</w:t>
            </w:r>
          </w:p>
        </w:tc>
      </w:tr>
      <w:tr w:rsidR="009E4DF5">
        <w:trPr>
          <w:trHeight w:val="1020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3.3 Promover la formación continua de docentes mediante la mejora y ampliación de la oferta de actualización, incluyendo los programas de posgrado en educación para fortalecer las prácticas pedagógicas</w:t>
            </w:r>
          </w:p>
        </w:tc>
      </w:tr>
      <w:tr w:rsidR="009E4DF5">
        <w:trPr>
          <w:trHeight w:val="1020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3.5 Dignificar la labor del personal docente y de investigación de las instituciones de educación superior mejorando sus condiciones laborales para garantizar la estabilidad en su carrera profesional</w:t>
            </w:r>
          </w:p>
        </w:tc>
      </w:tr>
      <w:tr w:rsidR="009E4DF5">
        <w:trPr>
          <w:trHeight w:val="1303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5.3 Gestión para resultados</w:t>
            </w:r>
          </w:p>
        </w:tc>
        <w:tc>
          <w:tcPr>
            <w:tcW w:w="3075" w:type="dxa"/>
            <w:vMerge w:val="restart"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4 - Mejorar los entornos escolares para favorecer el aprendizaje, desarrollo de conocimientos, capacidades y habilidades de los estudiantes de todo el país, a partir </w:t>
            </w: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de la construcción, equipamiento, restauración, reforzamiento y rehabilitación de la infra</w:t>
            </w:r>
            <w:r>
              <w:rPr>
                <w:rFonts w:ascii="Arial" w:eastAsia="Arial" w:hAnsi="Arial" w:cs="Arial"/>
                <w:sz w:val="18"/>
                <w:szCs w:val="18"/>
              </w:rPr>
              <w:t>estructura educativa.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4.2 Dignificar las escuelas mediante la construcción, ampliación, rehabilitación y mantenimiento de la infraestructura física prioritariamente en zonas marginadas, pueblos y comunidades indígenas y </w:t>
            </w: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afromexicanas para generar un entorn</w:t>
            </w:r>
            <w:r>
              <w:rPr>
                <w:rFonts w:ascii="Arial" w:eastAsia="Arial" w:hAnsi="Arial" w:cs="Arial"/>
                <w:sz w:val="18"/>
                <w:szCs w:val="18"/>
              </w:rPr>
              <w:t>o propicio para el aprendizaje</w:t>
            </w:r>
          </w:p>
        </w:tc>
      </w:tr>
      <w:tr w:rsidR="009E4DF5">
        <w:trPr>
          <w:trHeight w:val="1303"/>
        </w:trPr>
        <w:tc>
          <w:tcPr>
            <w:tcW w:w="165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075" w:type="dxa"/>
            <w:vMerge/>
            <w:tcBorders>
              <w:top w:val="single" w:sz="4" w:space="0" w:color="434343"/>
              <w:left w:val="single" w:sz="4" w:space="0" w:color="434343"/>
              <w:bottom w:val="nil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4.4 Fortalecer la infraestructura y el equipamiento de los planteles de educación básica, media superior y superior para facilitar el desarrollo de las actividades académicas y escolares de acuerdo con criterios de accesibilidad, seguridad, funcionalidad, </w:t>
            </w:r>
            <w:r>
              <w:rPr>
                <w:rFonts w:ascii="Arial" w:eastAsia="Arial" w:hAnsi="Arial" w:cs="Arial"/>
                <w:sz w:val="18"/>
                <w:szCs w:val="18"/>
              </w:rPr>
              <w:t>calidad, equidad y sustentabilidad</w:t>
            </w:r>
          </w:p>
        </w:tc>
      </w:tr>
    </w:tbl>
    <w:p w:rsidR="009E4DF5" w:rsidRDefault="00A20281">
      <w:r>
        <w:br w:type="page"/>
      </w:r>
    </w:p>
    <w:p w:rsidR="009E4DF5" w:rsidRDefault="00A20281">
      <w:pPr>
        <w:pStyle w:val="Ttulo2"/>
        <w:numPr>
          <w:ilvl w:val="0"/>
          <w:numId w:val="1"/>
        </w:numPr>
        <w:jc w:val="both"/>
      </w:pPr>
      <w:bookmarkStart w:id="3" w:name="_heading=h.8v2g5hengzu6" w:colFirst="0" w:colLast="0"/>
      <w:bookmarkEnd w:id="3"/>
      <w:r>
        <w:rPr>
          <w:color w:val="000000"/>
        </w:rPr>
        <w:lastRenderedPageBreak/>
        <w:t>Alineación con el Plan Estatal de Desarrollo y Gobernanza 2024-2030</w:t>
      </w:r>
    </w:p>
    <w:p w:rsidR="009E4DF5" w:rsidRDefault="009E4DF5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ffffffffff1"/>
        <w:tblW w:w="92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1605"/>
        <w:gridCol w:w="2850"/>
        <w:gridCol w:w="3600"/>
      </w:tblGrid>
      <w:tr w:rsidR="009E4DF5">
        <w:trPr>
          <w:trHeight w:val="380"/>
          <w:tblHeader/>
        </w:trPr>
        <w:tc>
          <w:tcPr>
            <w:tcW w:w="2760" w:type="dxa"/>
            <w:gridSpan w:val="2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8" w:space="0" w:color="7F7F7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PDI 2025-2031</w:t>
            </w:r>
          </w:p>
        </w:tc>
        <w:tc>
          <w:tcPr>
            <w:tcW w:w="6450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jc w:val="center"/>
            </w:pPr>
            <w:r>
              <w:rPr>
                <w:b/>
                <w:bCs/>
                <w:sz w:val="18"/>
                <w:szCs w:val="18"/>
              </w:rPr>
              <w:t>Plan Estatal de Desarrollo y Gobernanza 2024-2030</w:t>
            </w:r>
          </w:p>
        </w:tc>
      </w:tr>
      <w:tr w:rsidR="009E4DF5">
        <w:trPr>
          <w:trHeight w:val="380"/>
          <w:tblHeader/>
        </w:trPr>
        <w:tc>
          <w:tcPr>
            <w:tcW w:w="115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Eje</w:t>
            </w:r>
          </w:p>
        </w:tc>
        <w:tc>
          <w:tcPr>
            <w:tcW w:w="160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Temática</w:t>
            </w: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Eje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Temáticas</w:t>
            </w:r>
          </w:p>
        </w:tc>
      </w:tr>
      <w:tr w:rsidR="009E4DF5">
        <w:trPr>
          <w:trHeight w:val="420"/>
        </w:trPr>
        <w:tc>
          <w:tcPr>
            <w:tcW w:w="1155" w:type="dxa"/>
            <w:vMerge w:val="restart"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1.Formación de calidad para la vida</w:t>
            </w: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 Educación de calidad para todos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Jalisco crece para todas y todos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 Educación para crecer en libertad</w:t>
            </w:r>
          </w:p>
        </w:tc>
      </w:tr>
      <w:tr w:rsidR="009E4DF5">
        <w:trPr>
          <w:trHeight w:val="50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Hacia el desarrollo de todas y todos</w:t>
            </w:r>
          </w:p>
        </w:tc>
      </w:tr>
      <w:tr w:rsidR="009E4DF5">
        <w:trPr>
          <w:trHeight w:val="50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E4DF5" w:rsidRDefault="00A20281">
            <w:pPr>
              <w:spacing w:after="0" w:line="240" w:lineRule="auto"/>
              <w:ind w:left="-141" w:hanging="1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2.Temas que nos acompañan en cada paso del camino (transversales)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T2 Igualdad sustantiva entre mujeres y hombres</w:t>
            </w:r>
          </w:p>
        </w:tc>
      </w:tr>
      <w:tr w:rsidR="009E4DF5">
        <w:trPr>
          <w:trHeight w:val="50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T3 Garantía y protección efectiva de derechos humanos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 Aprender con sentido innovador y humanista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Jalisco crece para todas y todos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 Menos desigualdad, más comunidad</w:t>
            </w:r>
          </w:p>
        </w:tc>
      </w:tr>
      <w:tr w:rsidR="009E4DF5">
        <w:trPr>
          <w:trHeight w:val="46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 Educación para crecer en libertad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Hacia el desarrollo de todas y todos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Jalisco, economía que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 Innovar para prosperar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 Educación innovadora y formación de talento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 Conectados con el mundo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Jalisco crece para todas y todos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 Educación para crecer en libertad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 La cultura que nos une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Hacia el desarrollo de todas y todos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Jalisco, economía que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 Innovar para prosperar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 Educación innovadora y formación de talento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Jalisco cercano y transparente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Participación que nos une, colaboración que transforma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 Formación integral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Jalisco crece para todas y todos</w:t>
            </w:r>
          </w:p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 Educación para crecer en libertad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 Salud que protege y acompaña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 La cultura que nos une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 Deporte y activación física para una vida saludable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Hacia el desarrollo de todas y todos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Jalisco, economía que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 Educación innovadora y formación de talento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1.5 De la vida universitaria a la profesional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Jalisco crece para todas y todos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 Menos desigualdad, más comunidad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 Educación para crecer en libertad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Hacia el desarrollo de todas y todos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Jalisco, economía que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 Impulso a la economía local y regional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 Innovar para prosperar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 Educación innovadora y formación de talento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3.8 Financiamiento que impulsa sueños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Jalisco cercano y transparente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9EAD3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Participación que nos une, colaboración que transforma</w:t>
            </w:r>
          </w:p>
        </w:tc>
      </w:tr>
      <w:tr w:rsidR="009E4DF5">
        <w:trPr>
          <w:trHeight w:val="380"/>
        </w:trPr>
        <w:tc>
          <w:tcPr>
            <w:tcW w:w="115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Generar conocimiento</w:t>
            </w: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 Investigar para transformar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 Impulso a la economía local y regional</w:t>
            </w:r>
          </w:p>
        </w:tc>
      </w:tr>
      <w:tr w:rsidR="009E4DF5">
        <w:trPr>
          <w:trHeight w:val="38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 Innovar para prosperar</w:t>
            </w:r>
          </w:p>
        </w:tc>
      </w:tr>
      <w:tr w:rsidR="009E4DF5">
        <w:trPr>
          <w:trHeight w:val="38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3.8 Financiamiento que impulsa sueños emprendedores</w:t>
            </w:r>
          </w:p>
        </w:tc>
      </w:tr>
      <w:tr w:rsidR="009E4DF5">
        <w:trPr>
          <w:trHeight w:val="38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3.10 Fábrica de ideas</w:t>
            </w:r>
          </w:p>
        </w:tc>
      </w:tr>
      <w:tr w:rsidR="009E4DF5">
        <w:trPr>
          <w:trHeight w:val="50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ind w:left="-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 Compartir saberes y tecnología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 Innovar para prosperar</w:t>
            </w:r>
          </w:p>
        </w:tc>
      </w:tr>
      <w:tr w:rsidR="009E4DF5">
        <w:trPr>
          <w:trHeight w:val="50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 Educación innovadora y formación de talento</w:t>
            </w:r>
          </w:p>
        </w:tc>
      </w:tr>
      <w:tr w:rsidR="009E4DF5">
        <w:trPr>
          <w:trHeight w:val="50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ind w:left="-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 Crear emprendedores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 Educación innovadora y formación de talento</w:t>
            </w:r>
          </w:p>
        </w:tc>
      </w:tr>
      <w:tr w:rsidR="009E4DF5">
        <w:trPr>
          <w:trHeight w:val="50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3.8 Financiamiento que impulsa sueños emprendedores</w:t>
            </w:r>
          </w:p>
        </w:tc>
      </w:tr>
      <w:tr w:rsidR="009E4DF5">
        <w:trPr>
          <w:trHeight w:val="50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9DAF8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3.10 Fábrica de ideas</w:t>
            </w:r>
          </w:p>
        </w:tc>
      </w:tr>
      <w:tr w:rsidR="009E4DF5">
        <w:trPr>
          <w:trHeight w:val="440"/>
        </w:trPr>
        <w:tc>
          <w:tcPr>
            <w:tcW w:w="1155" w:type="dxa"/>
            <w:vMerge w:val="restart"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De la mano con la sociedad</w:t>
            </w: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 Cercanos con la sociedad</w:t>
            </w:r>
          </w:p>
          <w:p w:rsidR="009E4DF5" w:rsidRDefault="009E4DF5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Jalisco tranquilo y en paz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 Fortalecimiento a las corporaciones de seguridad</w:t>
            </w:r>
          </w:p>
        </w:tc>
      </w:tr>
      <w:tr w:rsidR="009E4DF5">
        <w:trPr>
          <w:trHeight w:val="48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 Justicia cercana que escucha y actúa</w:t>
            </w:r>
          </w:p>
        </w:tc>
      </w:tr>
      <w:tr w:rsidR="009E4DF5">
        <w:trPr>
          <w:trHeight w:val="375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Jalisco crece para todas y todos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Hacia el desarrollo de todas y todos</w:t>
            </w:r>
          </w:p>
        </w:tc>
      </w:tr>
      <w:tr w:rsidR="009E4DF5">
        <w:trPr>
          <w:trHeight w:val="48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Jalisco cuida su tierra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4.5 Movilidad digna y accesible para todas y todos </w:t>
            </w:r>
          </w:p>
        </w:tc>
      </w:tr>
      <w:tr w:rsidR="009E4DF5">
        <w:trPr>
          <w:trHeight w:val="46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4.6 Ciudades que se planean en conjunto </w:t>
            </w:r>
          </w:p>
        </w:tc>
      </w:tr>
      <w:tr w:rsidR="009E4DF5">
        <w:trPr>
          <w:trHeight w:val="46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ind w:left="-70" w:hanging="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Jalisco cercano y transparente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Participación que une colaboración que transforma</w:t>
            </w:r>
          </w:p>
        </w:tc>
      </w:tr>
      <w:tr w:rsidR="009E4DF5">
        <w:trPr>
          <w:trHeight w:val="39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3.2 Alianzas que </w:t>
            </w:r>
            <w:r>
              <w:rPr>
                <w:sz w:val="18"/>
                <w:szCs w:val="18"/>
              </w:rPr>
              <w:lastRenderedPageBreak/>
              <w:t>construyen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2. Jalisco crece para todas y todos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 Menos desigualdad más comunidad</w:t>
            </w:r>
          </w:p>
        </w:tc>
      </w:tr>
      <w:tr w:rsidR="009E4DF5">
        <w:trPr>
          <w:trHeight w:val="405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Hacia el desarrollo de todas y todos</w:t>
            </w:r>
          </w:p>
        </w:tc>
      </w:tr>
      <w:tr w:rsidR="009E4DF5">
        <w:trPr>
          <w:trHeight w:val="375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Jalisco, economía que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 Impulso a la economía local y regional</w:t>
            </w:r>
          </w:p>
        </w:tc>
      </w:tr>
      <w:tr w:rsidR="009E4DF5">
        <w:trPr>
          <w:trHeight w:val="465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 Innovar para transformar</w:t>
            </w:r>
          </w:p>
        </w:tc>
      </w:tr>
      <w:tr w:rsidR="009E4DF5">
        <w:trPr>
          <w:trHeight w:val="525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 Educación innovadora y formación de talento</w:t>
            </w:r>
          </w:p>
        </w:tc>
      </w:tr>
      <w:tr w:rsidR="009E4DF5">
        <w:trPr>
          <w:trHeight w:val="375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Jalisco cuida su tierra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4.6 Ciudades que se planean en conjunto</w:t>
            </w:r>
          </w:p>
        </w:tc>
      </w:tr>
      <w:tr w:rsidR="009E4DF5">
        <w:trPr>
          <w:trHeight w:val="48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Jalisco cercano y transparente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Participación que une, colaboración que transforma</w:t>
            </w:r>
          </w:p>
        </w:tc>
      </w:tr>
      <w:tr w:rsidR="009E4DF5">
        <w:trPr>
          <w:trHeight w:val="375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 Universidad verde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Jalisco cuida su tierra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 Territorio en equilibrio</w:t>
            </w:r>
          </w:p>
        </w:tc>
      </w:tr>
      <w:tr w:rsidR="009E4DF5">
        <w:trPr>
          <w:trHeight w:val="46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 Gestión responsable y sostenible del agua</w:t>
            </w:r>
          </w:p>
        </w:tc>
      </w:tr>
      <w:tr w:rsidR="009E4DF5">
        <w:trPr>
          <w:trHeight w:val="46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4.4 Espacios, caminos y servicios que nos conectan</w:t>
            </w:r>
          </w:p>
        </w:tc>
      </w:tr>
      <w:tr w:rsidR="009E4DF5">
        <w:trPr>
          <w:trHeight w:val="46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4.6 Ciudades que se planean en conjunto</w:t>
            </w:r>
          </w:p>
        </w:tc>
      </w:tr>
      <w:tr w:rsidR="009E4DF5">
        <w:trPr>
          <w:trHeight w:val="38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Temas que nos acompañan en cada paso del camino (temas transversales)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F2C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T4 Desarrollo sustentable y acción ante el cambio climático</w:t>
            </w:r>
          </w:p>
        </w:tc>
      </w:tr>
      <w:tr w:rsidR="009E4DF5">
        <w:trPr>
          <w:trHeight w:val="380"/>
        </w:trPr>
        <w:tc>
          <w:tcPr>
            <w:tcW w:w="115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Cultura que nos une</w:t>
            </w: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 Bienestar universitario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Jalisco tranquilo y en paz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 Prevención para una vida en paz</w:t>
            </w:r>
          </w:p>
        </w:tc>
      </w:tr>
      <w:tr w:rsidR="009E4DF5">
        <w:trPr>
          <w:trHeight w:val="38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 Justicia cercana que escucha y actúa</w:t>
            </w:r>
          </w:p>
        </w:tc>
      </w:tr>
      <w:tr w:rsidR="009E4DF5">
        <w:trPr>
          <w:trHeight w:val="38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Jalisco crece para todas y todos 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 Menos desigualdad, más comunidad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 Educación para crecer en libertad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2.3 Salud que protege y acompaña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 La cultura que nos une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2.5 Deporte y activación física para una vida saludable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 Acompañamiento jurídico a personas en situación de vulnerabilidad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Hacia el desarrollo de todas y todos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 Paz laboral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Jalisco cuida su tierra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4.4 Espacios, caminos y servicios que nos conectan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 Movilidad digna y accesible para todas y todos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Temas que nos acompañan en cada paso del camino (temas transversales)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T1 Niñas, niños y adolescentes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T2 Igualdad sustantiva entre mujeres y hombres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T3 Garantía y protección efectiva de derechos humanos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T5 Gobernanza y Cultura de Paz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 Cultura para todos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Jalisco crece para todas y todos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 Menos desigualdad, más comunidad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 Educación para crecer en libertad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 La cultura que nos une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 Turismo que celebra y proyecta nuestra esencia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3.9 De fiesta en Jalisco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3.10 Fábrica de ideas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4.3 Creatividad artística</w:t>
            </w: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Jalisco crece para todas y todos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 La cultura que nos une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3.9 De fiesta en Jalisco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AD1D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3.10 Fábrica de ideas</w:t>
            </w:r>
          </w:p>
        </w:tc>
      </w:tr>
      <w:tr w:rsidR="009E4DF5">
        <w:trPr>
          <w:trHeight w:val="420"/>
        </w:trPr>
        <w:tc>
          <w:tcPr>
            <w:tcW w:w="115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Gestión que construye</w:t>
            </w: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 Gobernanza universitaria</w:t>
            </w: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Jalisco tranquilo y en paz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 Justicia cercana que escucha y actúa</w:t>
            </w:r>
          </w:p>
        </w:tc>
      </w:tr>
      <w:tr w:rsidR="009E4DF5">
        <w:trPr>
          <w:trHeight w:val="495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Desarrollo social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 Menos desigualdad, más comunidad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2.6 Acompañamiento jurídico a personas en situación de vulnerabilidad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Jalisco cercano y transparente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 Un gobierno que da certeza, actúa y responde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Participación que une, colaboración que transforma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5.6 Gobernar con integridad y transparencia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Temas que nos acompañan en cada paso del camino (temas transversales)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T2 Igualdad sustantiva entre mujeres y hombres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T5 Gobernanza y Cultura de Paz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T6 Transparencia, rendición de cuentas y combate a la corrupción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5.2 Profesionalizar para transformar</w:t>
            </w: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Desarrollo social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 Menos desigualdad, más comunidad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Hacia el desarrollo de todas y todos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 Impulso a la economía local y regional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 Paz laboral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 Educación innovadora y formación de talento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3.10 Fábrica de ideas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Temas que nos acompañan en cada paso del camino (temas transversales)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T2 Igualdad sustantiva entre mujeres y hombres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 Gestión para resultados</w:t>
            </w: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Jalisco avanza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3.8 Financiamiento que impulsa sueños emprendedores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 w:val="restart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Jalisco cercano y transparente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 Un gobierno que da certeza, actúa y responde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5.4 Administrar lo que es de todas y todos con responsabilidad y cercanía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5.5 Derecho a la información y respeto a la privacidad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50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5.6 Gobernar con integridad y transparencia</w:t>
            </w:r>
          </w:p>
        </w:tc>
      </w:tr>
      <w:tr w:rsidR="009E4DF5">
        <w:trPr>
          <w:trHeight w:val="420"/>
        </w:trPr>
        <w:tc>
          <w:tcPr>
            <w:tcW w:w="115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85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Temas que nos acompañan en cada paso del camino (temas transversales)</w:t>
            </w:r>
          </w:p>
        </w:tc>
        <w:tc>
          <w:tcPr>
            <w:tcW w:w="360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9CB9C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T6 Transparencia, rendición de cuentas y combate a la corrupción</w:t>
            </w:r>
          </w:p>
        </w:tc>
      </w:tr>
    </w:tbl>
    <w:p w:rsidR="009E4DF5" w:rsidRDefault="00A20281">
      <w:bookmarkStart w:id="4" w:name="_heading=h.bn8j2pqah9qk" w:colFirst="0" w:colLast="0"/>
      <w:bookmarkEnd w:id="4"/>
      <w:r>
        <w:br w:type="page"/>
      </w:r>
    </w:p>
    <w:p w:rsidR="009E4DF5" w:rsidRDefault="00A20281">
      <w:pPr>
        <w:pStyle w:val="Ttulo2"/>
        <w:numPr>
          <w:ilvl w:val="0"/>
          <w:numId w:val="1"/>
        </w:numPr>
      </w:pPr>
      <w:bookmarkStart w:id="5" w:name="_heading=h.dtink06benmy" w:colFirst="0" w:colLast="0"/>
      <w:bookmarkEnd w:id="5"/>
      <w:r>
        <w:rPr>
          <w:color w:val="000000"/>
        </w:rPr>
        <w:lastRenderedPageBreak/>
        <w:t>Alineación con el Programa General de Trabajo 2025-2031 Mtra. Karla Alejandrina Planter Pérez</w:t>
      </w:r>
    </w:p>
    <w:tbl>
      <w:tblPr>
        <w:tblStyle w:val="affffffffff2"/>
        <w:tblW w:w="9780" w:type="dxa"/>
        <w:tblInd w:w="-5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1515"/>
        <w:gridCol w:w="2790"/>
        <w:gridCol w:w="3600"/>
      </w:tblGrid>
      <w:tr w:rsidR="009E4DF5">
        <w:trPr>
          <w:trHeight w:val="485"/>
          <w:tblHeader/>
        </w:trPr>
        <w:tc>
          <w:tcPr>
            <w:tcW w:w="3390" w:type="dxa"/>
            <w:gridSpan w:val="2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PDI 2025-2031</w:t>
            </w:r>
          </w:p>
        </w:tc>
        <w:tc>
          <w:tcPr>
            <w:tcW w:w="6390" w:type="dxa"/>
            <w:gridSpan w:val="2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Programa General de Trabajo 2025-2031</w:t>
            </w:r>
          </w:p>
        </w:tc>
      </w:tr>
      <w:tr w:rsidR="009E4DF5">
        <w:trPr>
          <w:trHeight w:val="485"/>
          <w:tblHeader/>
        </w:trPr>
        <w:tc>
          <w:tcPr>
            <w:tcW w:w="18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</w:t>
            </w:r>
          </w:p>
        </w:tc>
        <w:tc>
          <w:tcPr>
            <w:tcW w:w="151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Temática</w:t>
            </w:r>
          </w:p>
        </w:tc>
        <w:tc>
          <w:tcPr>
            <w:tcW w:w="279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Agenda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Política</w:t>
            </w:r>
          </w:p>
        </w:tc>
      </w:tr>
      <w:tr w:rsidR="009E4DF5">
        <w:trPr>
          <w:trHeight w:val="453"/>
        </w:trPr>
        <w:tc>
          <w:tcPr>
            <w:tcW w:w="1875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A20281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 Formación de calidad para la vida</w:t>
            </w:r>
          </w:p>
        </w:tc>
        <w:tc>
          <w:tcPr>
            <w:tcW w:w="1515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1.1 Educación para todos</w:t>
            </w:r>
          </w:p>
        </w:tc>
        <w:tc>
          <w:tcPr>
            <w:tcW w:w="279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de Trabajo de Formación Integral, Docencia e Innovación Académica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Formación Integral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Docencia e Innovación Académica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1.2 Aprender con sentido innovador y humanista</w:t>
            </w: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Docencia e Innovación Académica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Formación Integral</w:t>
            </w:r>
          </w:p>
        </w:tc>
      </w:tr>
      <w:tr w:rsidR="009E4DF5">
        <w:trPr>
          <w:trHeight w:val="380"/>
        </w:trPr>
        <w:tc>
          <w:tcPr>
            <w:tcW w:w="187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Integral para la Flexibilización, Pertinencia e Inclusión en el Posgrado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A2028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1.3 Conectados con el mundo</w:t>
            </w: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Internacionalización de la Educación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1.4 Formación integral</w:t>
            </w: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Formación Integral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A2028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1.5 De la vida universitaria a la profesional</w:t>
            </w: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Formación Integral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Internacionalización de la Educación</w:t>
            </w:r>
          </w:p>
        </w:tc>
      </w:tr>
      <w:tr w:rsidR="009E4DF5">
        <w:trPr>
          <w:trHeight w:val="453"/>
        </w:trPr>
        <w:tc>
          <w:tcPr>
            <w:tcW w:w="187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 Generar conocimiento</w:t>
            </w:r>
          </w:p>
        </w:tc>
        <w:tc>
          <w:tcPr>
            <w:tcW w:w="151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2.1 Investigar para transformar</w:t>
            </w:r>
          </w:p>
        </w:tc>
        <w:tc>
          <w:tcPr>
            <w:tcW w:w="279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de Trabajo de Investigación, transferencia tecnológica, difusión y divulgación científica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investigación colaborativa con impacto científico y social para la solución de retos releva</w:t>
            </w:r>
            <w:r>
              <w:rPr>
                <w:rFonts w:ascii="Arial" w:eastAsia="Arial" w:hAnsi="Arial" w:cs="Arial"/>
                <w:sz w:val="18"/>
                <w:szCs w:val="18"/>
              </w:rPr>
              <w:t>ntes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fortalecimiento institucional para la investigación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2.2 Compartir saberes y tecnología</w:t>
            </w: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Innovación, Alianzas y Transferencia Tecnológica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vinculación, comunicación y divulgación de la ciencia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2.3 Crear emprendedores</w:t>
            </w:r>
          </w:p>
        </w:tc>
        <w:tc>
          <w:tcPr>
            <w:tcW w:w="279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Transversal de Innovación y emprendimiento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Innovación y Emprendimiento</w:t>
            </w:r>
          </w:p>
        </w:tc>
      </w:tr>
      <w:tr w:rsidR="009E4DF5">
        <w:trPr>
          <w:trHeight w:val="453"/>
        </w:trPr>
        <w:tc>
          <w:tcPr>
            <w:tcW w:w="187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 De la mano con la sociedad</w:t>
            </w:r>
          </w:p>
          <w:p w:rsidR="009E4DF5" w:rsidRDefault="009E4DF5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3.1 Cercanos a la sociedad</w:t>
            </w:r>
          </w:p>
        </w:tc>
        <w:tc>
          <w:tcPr>
            <w:tcW w:w="279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75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de Trabajo de Extensión Universitaria y Responsabilidad Social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Extensión Universitaria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Responsabilidad Social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3.3 Universidad verde</w:t>
            </w:r>
          </w:p>
        </w:tc>
        <w:tc>
          <w:tcPr>
            <w:tcW w:w="279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75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Transversal de Sostenibilidad y Medio Ambiente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Conciencia Ambiental y Planetaria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Sostenibilidad y Acción Universitaria</w:t>
            </w:r>
          </w:p>
        </w:tc>
      </w:tr>
      <w:tr w:rsidR="009E4DF5">
        <w:trPr>
          <w:trHeight w:val="453"/>
        </w:trPr>
        <w:tc>
          <w:tcPr>
            <w:tcW w:w="187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 Cultura que nos une</w:t>
            </w:r>
          </w:p>
        </w:tc>
        <w:tc>
          <w:tcPr>
            <w:tcW w:w="151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4.1 Bienestar universitario</w:t>
            </w:r>
          </w:p>
        </w:tc>
        <w:tc>
          <w:tcPr>
            <w:tcW w:w="279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Transversal de Bienestar: género, inclusión y cultura de paz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Integral de Bienestar Universitario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Género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Institucional de Inclusión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Atención, Erradicación de las Violencias y Cultura de Paz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75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de Trabajo de Extensión Universitaria y Responsabilidad Social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Responsabilidad Social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4.2 Cultura para todos</w:t>
            </w:r>
          </w:p>
        </w:tc>
        <w:tc>
          <w:tcPr>
            <w:tcW w:w="279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de Trabajo de Desarrollo y Difusión Cultural</w:t>
            </w:r>
          </w:p>
        </w:tc>
        <w:tc>
          <w:tcPr>
            <w:tcW w:w="360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Desarrollo y Difusión Cultural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4.3 Creatividad artística</w:t>
            </w: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0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9E4DF5">
        <w:trPr>
          <w:trHeight w:val="453"/>
        </w:trPr>
        <w:tc>
          <w:tcPr>
            <w:tcW w:w="187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 Gestión que construye</w:t>
            </w:r>
          </w:p>
        </w:tc>
        <w:tc>
          <w:tcPr>
            <w:tcW w:w="1515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5.1 Gobernanza universitaria</w:t>
            </w:r>
          </w:p>
        </w:tc>
        <w:tc>
          <w:tcPr>
            <w:tcW w:w="279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Transversal de Gestión y Colaboración Institucional</w:t>
            </w:r>
          </w:p>
        </w:tc>
        <w:tc>
          <w:tcPr>
            <w:tcW w:w="360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Gestión para el Desarrollo Institucional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5.3 Gestión para resultados</w:t>
            </w: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 w:val="restart"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5.2 Profesionalizar para transformar</w:t>
            </w:r>
          </w:p>
        </w:tc>
        <w:tc>
          <w:tcPr>
            <w:tcW w:w="2790" w:type="dxa"/>
            <w:vMerge w:val="restart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Agenda de Trabajo de Formación Integral, Docencia e Innovación Académica</w:t>
            </w: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Formación Integral</w:t>
            </w:r>
          </w:p>
        </w:tc>
      </w:tr>
      <w:tr w:rsidR="009E4DF5">
        <w:trPr>
          <w:trHeight w:val="453"/>
        </w:trPr>
        <w:tc>
          <w:tcPr>
            <w:tcW w:w="187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90" w:type="dxa"/>
            <w:vMerge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9E4D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E4DF5" w:rsidRDefault="00A2028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Política de Docencia e Innovación Académica</w:t>
            </w:r>
          </w:p>
        </w:tc>
      </w:tr>
    </w:tbl>
    <w:p w:rsidR="009E4DF5" w:rsidRDefault="009E4DF5">
      <w:pPr>
        <w:spacing w:before="240" w:after="240" w:line="276" w:lineRule="auto"/>
        <w:rPr>
          <w:rFonts w:ascii="Arial" w:eastAsia="Arial" w:hAnsi="Arial" w:cs="Arial"/>
          <w:b/>
          <w:bCs/>
        </w:rPr>
      </w:pPr>
    </w:p>
    <w:sectPr w:rsidR="009E4DF5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0" w:right="1701" w:bottom="1417" w:left="1842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281" w:rsidRDefault="00A20281">
      <w:pPr>
        <w:spacing w:after="0" w:line="240" w:lineRule="auto"/>
      </w:pPr>
      <w:r>
        <w:separator/>
      </w:r>
    </w:p>
  </w:endnote>
  <w:endnote w:type="continuationSeparator" w:id="0">
    <w:p w:rsidR="00A20281" w:rsidRDefault="00A20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3F16FD-2122-475F-B00D-DCDDBB42DEAF}"/>
    <w:embedBold r:id="rId2" w:fontKey="{3D2A1238-D490-4C63-B191-E80D579E7C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B436CA4-50DC-42D2-9516-A459A259AEED}"/>
  </w:font>
  <w:font w:name="Segoe UI">
    <w:panose1 w:val="020B0502040204020203"/>
    <w:charset w:val="00"/>
    <w:family w:val="roman"/>
    <w:notTrueType/>
    <w:pitch w:val="default"/>
    <w:embedRegular r:id="rId4" w:fontKey="{379C3D97-9D89-4BA9-B68E-7FCE64C156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5" w:rsidRDefault="00A20281">
    <w:pPr>
      <w:jc w:val="right"/>
      <w:rPr>
        <w:rFonts w:ascii="Arial" w:eastAsia="Arial" w:hAnsi="Arial" w:cs="Arial"/>
        <w:color w:val="666666"/>
        <w:sz w:val="18"/>
        <w:szCs w:val="18"/>
      </w:rPr>
    </w:pPr>
    <w:r>
      <w:rPr>
        <w:rFonts w:ascii="Arial" w:eastAsia="Arial" w:hAnsi="Arial" w:cs="Arial"/>
        <w:color w:val="666666"/>
        <w:sz w:val="18"/>
        <w:szCs w:val="18"/>
      </w:rPr>
      <w:fldChar w:fldCharType="begin"/>
    </w:r>
    <w:r>
      <w:rPr>
        <w:rFonts w:ascii="Arial" w:eastAsia="Arial" w:hAnsi="Arial" w:cs="Arial"/>
        <w:color w:val="666666"/>
        <w:sz w:val="18"/>
        <w:szCs w:val="18"/>
      </w:rPr>
      <w:instrText>PAGE</w:instrText>
    </w:r>
    <w:r w:rsidR="004424A8">
      <w:rPr>
        <w:rFonts w:ascii="Arial" w:eastAsia="Arial" w:hAnsi="Arial" w:cs="Arial"/>
        <w:color w:val="666666"/>
        <w:sz w:val="18"/>
        <w:szCs w:val="18"/>
      </w:rPr>
      <w:fldChar w:fldCharType="separate"/>
    </w:r>
    <w:r w:rsidR="004424A8">
      <w:rPr>
        <w:rFonts w:ascii="Arial" w:eastAsia="Arial" w:hAnsi="Arial" w:cs="Arial"/>
        <w:noProof/>
        <w:color w:val="666666"/>
        <w:sz w:val="18"/>
        <w:szCs w:val="18"/>
      </w:rPr>
      <w:t>2</w:t>
    </w:r>
    <w:r>
      <w:rPr>
        <w:rFonts w:ascii="Arial" w:eastAsia="Arial" w:hAnsi="Arial" w:cs="Arial"/>
        <w:color w:val="66666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5" w:rsidRDefault="009E4D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281" w:rsidRDefault="00A20281">
      <w:pPr>
        <w:spacing w:after="0" w:line="240" w:lineRule="auto"/>
      </w:pPr>
      <w:r>
        <w:separator/>
      </w:r>
    </w:p>
  </w:footnote>
  <w:footnote w:type="continuationSeparator" w:id="0">
    <w:p w:rsidR="00A20281" w:rsidRDefault="00A20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5" w:rsidRDefault="00A20281">
    <w:pPr>
      <w:jc w:val="right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>Plan de Desarrollo Institucional 2025-2031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F5" w:rsidRDefault="009E4DF5">
    <w:pPr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57480"/>
    <w:multiLevelType w:val="multilevel"/>
    <w:tmpl w:val="4B2409B2"/>
    <w:lvl w:ilvl="0">
      <w:start w:val="3"/>
      <w:numFmt w:val="decimal"/>
      <w:lvlText w:val="%1."/>
      <w:lvlJc w:val="left"/>
      <w:pPr>
        <w:ind w:left="720" w:hanging="360"/>
      </w:pPr>
      <w:rPr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9C660D"/>
    <w:multiLevelType w:val="multilevel"/>
    <w:tmpl w:val="AEAEF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DF5"/>
    <w:rsid w:val="004424A8"/>
    <w:rsid w:val="009E4DF5"/>
    <w:rsid w:val="00A2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846F7C-96EB-4EAE-88F3-965C4EBFF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6" w:lineRule="auto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rFonts w:ascii="Arial" w:eastAsia="Arial" w:hAnsi="Arial" w:cs="Arial"/>
      <w:b/>
      <w:bCs/>
      <w:color w:val="6AA84F"/>
      <w:sz w:val="24"/>
      <w:szCs w:val="24"/>
    </w:rPr>
  </w:style>
  <w:style w:type="paragraph" w:styleId="Ttulo3">
    <w:name w:val="heading 3"/>
    <w:basedOn w:val="Normal"/>
    <w:next w:val="Normal"/>
    <w:pPr>
      <w:spacing w:before="360" w:after="80"/>
      <w:outlineLvl w:val="2"/>
    </w:pPr>
    <w:rPr>
      <w:rFonts w:ascii="Arial" w:eastAsia="Arial" w:hAnsi="Arial" w:cs="Arial"/>
      <w:b/>
      <w:bCs/>
      <w:color w:val="6AA84F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line="240" w:lineRule="auto"/>
      <w:outlineLvl w:val="3"/>
    </w:pPr>
    <w:rPr>
      <w:rFonts w:ascii="Arial" w:eastAsia="Arial" w:hAnsi="Arial" w:cs="Arial"/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40" w:after="200" w:line="276" w:lineRule="auto"/>
      <w:jc w:val="both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360" w:after="80"/>
    </w:pPr>
    <w:rPr>
      <w:rFonts w:ascii="Arial" w:eastAsia="Arial" w:hAnsi="Arial" w:cs="Arial"/>
      <w:b/>
      <w:bCs/>
      <w:sz w:val="26"/>
      <w:szCs w:val="2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3Car">
    <w:name w:val="Título 3 Car"/>
    <w:basedOn w:val="Fuentedeprrafopredeter"/>
    <w:uiPriority w:val="9"/>
    <w:rsid w:val="00FC3190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unhideWhenUsed/>
    <w:rsid w:val="00FC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C3190"/>
    <w:rPr>
      <w:b/>
      <w:bCs/>
    </w:rPr>
  </w:style>
  <w:style w:type="character" w:customStyle="1" w:styleId="relative">
    <w:name w:val="relative"/>
    <w:basedOn w:val="Fuentedeprrafopredeter"/>
    <w:rsid w:val="00FC3190"/>
  </w:style>
  <w:style w:type="character" w:customStyle="1" w:styleId="Ttulo2Car">
    <w:name w:val="Título 2 Car"/>
    <w:basedOn w:val="Fuentedeprrafopredeter"/>
    <w:uiPriority w:val="9"/>
    <w:rsid w:val="003F3D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s-1">
    <w:name w:val="ms-1"/>
    <w:basedOn w:val="Fuentedeprrafopredeter"/>
    <w:rsid w:val="00533866"/>
  </w:style>
  <w:style w:type="character" w:customStyle="1" w:styleId="max-w-15ch">
    <w:name w:val="max-w-[15ch]"/>
    <w:basedOn w:val="Fuentedeprrafopredeter"/>
    <w:rsid w:val="00533866"/>
  </w:style>
  <w:style w:type="character" w:customStyle="1" w:styleId="-me-1">
    <w:name w:val="-me-1"/>
    <w:basedOn w:val="Fuentedeprrafopredeter"/>
    <w:rsid w:val="00533866"/>
  </w:style>
  <w:style w:type="paragraph" w:styleId="Prrafodelista">
    <w:name w:val="List Paragraph"/>
    <w:basedOn w:val="Normal"/>
    <w:uiPriority w:val="34"/>
    <w:qFormat/>
    <w:rsid w:val="007D797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B5D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5D40"/>
  </w:style>
  <w:style w:type="paragraph" w:styleId="Piedepgina">
    <w:name w:val="footer"/>
    <w:basedOn w:val="Normal"/>
    <w:link w:val="PiedepginaCar"/>
    <w:uiPriority w:val="99"/>
    <w:unhideWhenUsed/>
    <w:rsid w:val="00EB5D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5D40"/>
  </w:style>
  <w:style w:type="paragraph" w:styleId="Textodeglobo">
    <w:name w:val="Balloon Text"/>
    <w:basedOn w:val="Normal"/>
    <w:link w:val="TextodegloboCar"/>
    <w:uiPriority w:val="99"/>
    <w:semiHidden/>
    <w:unhideWhenUsed/>
    <w:rsid w:val="00EA7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408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uiPriority w:val="9"/>
    <w:rsid w:val="006921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4D48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48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484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48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484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D198D"/>
    <w:rPr>
      <w:color w:val="0563C1" w:themeColor="hyperlink"/>
      <w:u w:val="single"/>
    </w:rPr>
  </w:style>
  <w:style w:type="table" w:customStyle="1" w:styleId="18">
    <w:name w:val="18"/>
    <w:basedOn w:val="TableNormal6"/>
    <w:tblPr>
      <w:tblStyleRowBandSize w:val="1"/>
      <w:tblStyleColBandSize w:val="1"/>
    </w:tblPr>
  </w:style>
  <w:style w:type="table" w:customStyle="1" w:styleId="17">
    <w:name w:val="17"/>
    <w:basedOn w:val="TableNormal6"/>
    <w:tblPr>
      <w:tblStyleRowBandSize w:val="1"/>
      <w:tblStyleColBandSize w:val="1"/>
    </w:tblPr>
  </w:style>
  <w:style w:type="table" w:customStyle="1" w:styleId="16">
    <w:name w:val="16"/>
    <w:basedOn w:val="TableNormal6"/>
    <w:tblPr>
      <w:tblStyleRowBandSize w:val="1"/>
      <w:tblStyleColBandSize w:val="1"/>
    </w:tblPr>
  </w:style>
  <w:style w:type="table" w:customStyle="1" w:styleId="15">
    <w:name w:val="15"/>
    <w:basedOn w:val="TableNormal6"/>
    <w:tblPr>
      <w:tblStyleRowBandSize w:val="1"/>
      <w:tblStyleColBandSize w:val="1"/>
    </w:tblPr>
  </w:style>
  <w:style w:type="table" w:customStyle="1" w:styleId="14">
    <w:name w:val="14"/>
    <w:basedOn w:val="TableNormal6"/>
    <w:tblPr>
      <w:tblStyleRowBandSize w:val="1"/>
      <w:tblStyleColBandSize w:val="1"/>
    </w:tblPr>
  </w:style>
  <w:style w:type="table" w:customStyle="1" w:styleId="13">
    <w:name w:val="13"/>
    <w:basedOn w:val="TableNormal6"/>
    <w:tblPr>
      <w:tblStyleRowBandSize w:val="1"/>
      <w:tblStyleColBandSize w:val="1"/>
    </w:tblPr>
  </w:style>
  <w:style w:type="table" w:customStyle="1" w:styleId="12">
    <w:name w:val="12"/>
    <w:basedOn w:val="TableNormal6"/>
    <w:tblPr>
      <w:tblStyleRowBandSize w:val="1"/>
      <w:tblStyleColBandSize w:val="1"/>
    </w:tblPr>
  </w:style>
  <w:style w:type="table" w:customStyle="1" w:styleId="11">
    <w:name w:val="11"/>
    <w:basedOn w:val="TableNormal6"/>
    <w:tblPr>
      <w:tblStyleRowBandSize w:val="1"/>
      <w:tblStyleColBandSize w:val="1"/>
    </w:tblPr>
  </w:style>
  <w:style w:type="table" w:customStyle="1" w:styleId="10">
    <w:name w:val="10"/>
    <w:basedOn w:val="TableNormal6"/>
    <w:tblPr>
      <w:tblStyleRowBandSize w:val="1"/>
      <w:tblStyleColBandSize w:val="1"/>
    </w:tblPr>
  </w:style>
  <w:style w:type="table" w:customStyle="1" w:styleId="9">
    <w:name w:val="9"/>
    <w:basedOn w:val="TableNormal6"/>
    <w:tblPr>
      <w:tblStyleRowBandSize w:val="1"/>
      <w:tblStyleColBandSize w:val="1"/>
    </w:tblPr>
  </w:style>
  <w:style w:type="table" w:customStyle="1" w:styleId="8">
    <w:name w:val="8"/>
    <w:basedOn w:val="TableNormal6"/>
    <w:tblPr>
      <w:tblStyleRowBandSize w:val="1"/>
      <w:tblStyleColBandSize w:val="1"/>
    </w:tblPr>
  </w:style>
  <w:style w:type="table" w:customStyle="1" w:styleId="7">
    <w:name w:val="7"/>
    <w:basedOn w:val="TableNormal6"/>
    <w:tblPr>
      <w:tblStyleRowBandSize w:val="1"/>
      <w:tblStyleColBandSize w:val="1"/>
    </w:tblPr>
  </w:style>
  <w:style w:type="table" w:customStyle="1" w:styleId="6">
    <w:name w:val="6"/>
    <w:basedOn w:val="TableNormal6"/>
    <w:tblPr>
      <w:tblStyleRowBandSize w:val="1"/>
      <w:tblStyleColBandSize w:val="1"/>
    </w:tblPr>
  </w:style>
  <w:style w:type="table" w:customStyle="1" w:styleId="5">
    <w:name w:val="5"/>
    <w:basedOn w:val="TableNormal6"/>
    <w:tblPr>
      <w:tblStyleRowBandSize w:val="1"/>
      <w:tblStyleColBandSize w:val="1"/>
    </w:tblPr>
  </w:style>
  <w:style w:type="table" w:customStyle="1" w:styleId="4">
    <w:name w:val="4"/>
    <w:basedOn w:val="TableNormal6"/>
    <w:tblPr>
      <w:tblStyleRowBandSize w:val="1"/>
      <w:tblStyleColBandSize w:val="1"/>
    </w:tblPr>
  </w:style>
  <w:style w:type="table" w:customStyle="1" w:styleId="3">
    <w:name w:val="3"/>
    <w:basedOn w:val="TableNormal6"/>
    <w:tblPr>
      <w:tblStyleRowBandSize w:val="1"/>
      <w:tblStyleColBandSize w:val="1"/>
    </w:tblPr>
  </w:style>
  <w:style w:type="table" w:customStyle="1" w:styleId="2">
    <w:name w:val="2"/>
    <w:basedOn w:val="TableNormal6"/>
    <w:tblPr>
      <w:tblStyleRowBandSize w:val="1"/>
      <w:tblStyleColBandSize w:val="1"/>
    </w:tblPr>
  </w:style>
  <w:style w:type="table" w:customStyle="1" w:styleId="1">
    <w:name w:val="1"/>
    <w:basedOn w:val="TableNormal6"/>
    <w:tblPr>
      <w:tblStyleRowBandSize w:val="1"/>
      <w:tblStyleColBandSize w:val="1"/>
    </w:tblPr>
  </w:style>
  <w:style w:type="table" w:customStyle="1" w:styleId="a">
    <w:basedOn w:val="TableNormal6"/>
    <w:tblPr>
      <w:tblStyleRowBandSize w:val="1"/>
      <w:tblStyleColBandSize w:val="1"/>
    </w:tbl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table" w:customStyle="1" w:styleId="a6">
    <w:basedOn w:val="TableNormal6"/>
    <w:tblPr>
      <w:tblStyleRowBandSize w:val="1"/>
      <w:tblStyleColBandSize w:val="1"/>
    </w:tblPr>
  </w:style>
  <w:style w:type="table" w:customStyle="1" w:styleId="a7">
    <w:basedOn w:val="TableNormal6"/>
    <w:tblPr>
      <w:tblStyleRowBandSize w:val="1"/>
      <w:tblStyleColBandSize w:val="1"/>
    </w:tblPr>
  </w:style>
  <w:style w:type="table" w:customStyle="1" w:styleId="a8">
    <w:basedOn w:val="TableNormal6"/>
    <w:tblPr>
      <w:tblStyleRowBandSize w:val="1"/>
      <w:tblStyleColBandSize w:val="1"/>
    </w:tblPr>
  </w:style>
  <w:style w:type="table" w:customStyle="1" w:styleId="a9">
    <w:basedOn w:val="TableNormal6"/>
    <w:tblPr>
      <w:tblStyleRowBandSize w:val="1"/>
      <w:tblStyleColBandSize w:val="1"/>
    </w:tblPr>
  </w:style>
  <w:style w:type="table" w:customStyle="1" w:styleId="aa">
    <w:basedOn w:val="TableNormal6"/>
    <w:tblPr>
      <w:tblStyleRowBandSize w:val="1"/>
      <w:tblStyleColBandSize w:val="1"/>
    </w:tblPr>
  </w:style>
  <w:style w:type="table" w:customStyle="1" w:styleId="ab">
    <w:basedOn w:val="TableNormal6"/>
    <w:tblPr>
      <w:tblStyleRowBandSize w:val="1"/>
      <w:tblStyleColBandSize w:val="1"/>
    </w:tblPr>
  </w:style>
  <w:style w:type="table" w:customStyle="1" w:styleId="ac">
    <w:basedOn w:val="TableNormal6"/>
    <w:tblPr>
      <w:tblStyleRowBandSize w:val="1"/>
      <w:tblStyleColBandSize w:val="1"/>
    </w:tblPr>
  </w:style>
  <w:style w:type="table" w:customStyle="1" w:styleId="ad">
    <w:basedOn w:val="TableNormal6"/>
    <w:tblPr>
      <w:tblStyleRowBandSize w:val="1"/>
      <w:tblStyleColBandSize w:val="1"/>
    </w:tblPr>
  </w:style>
  <w:style w:type="table" w:customStyle="1" w:styleId="ae">
    <w:basedOn w:val="TableNormal6"/>
    <w:tblPr>
      <w:tblStyleRowBandSize w:val="1"/>
      <w:tblStyleColBandSize w:val="1"/>
    </w:tblPr>
  </w:style>
  <w:style w:type="table" w:customStyle="1" w:styleId="af">
    <w:basedOn w:val="TableNormal6"/>
    <w:tblPr>
      <w:tblStyleRowBandSize w:val="1"/>
      <w:tblStyleColBandSize w:val="1"/>
    </w:tblPr>
  </w:style>
  <w:style w:type="table" w:customStyle="1" w:styleId="af0">
    <w:basedOn w:val="TableNormal6"/>
    <w:tblPr>
      <w:tblStyleRowBandSize w:val="1"/>
      <w:tblStyleColBandSize w:val="1"/>
    </w:tblPr>
  </w:style>
  <w:style w:type="character" w:styleId="nfasis">
    <w:name w:val="Emphasis"/>
    <w:basedOn w:val="Fuentedeprrafopredeter"/>
    <w:uiPriority w:val="20"/>
    <w:qFormat/>
    <w:rsid w:val="003B45C8"/>
    <w:rPr>
      <w:i/>
      <w:iCs/>
    </w:rPr>
  </w:style>
  <w:style w:type="table" w:customStyle="1" w:styleId="af1">
    <w:basedOn w:val="TableNormal5"/>
    <w:tblPr>
      <w:tblStyleRowBandSize w:val="1"/>
      <w:tblStyleColBandSize w:val="1"/>
    </w:tblPr>
  </w:style>
  <w:style w:type="table" w:customStyle="1" w:styleId="af2">
    <w:basedOn w:val="TableNormal5"/>
    <w:tblPr>
      <w:tblStyleRowBandSize w:val="1"/>
      <w:tblStyleColBandSize w:val="1"/>
    </w:tbl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</w:tblPr>
  </w:style>
  <w:style w:type="table" w:customStyle="1" w:styleId="af5">
    <w:basedOn w:val="TableNormal5"/>
    <w:tblPr>
      <w:tblStyleRowBandSize w:val="1"/>
      <w:tblStyleColBandSize w:val="1"/>
    </w:tblPr>
  </w:style>
  <w:style w:type="table" w:customStyle="1" w:styleId="af6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5"/>
    <w:tblPr>
      <w:tblStyleRowBandSize w:val="1"/>
      <w:tblStyleColBandSize w:val="1"/>
    </w:tblPr>
  </w:style>
  <w:style w:type="table" w:customStyle="1" w:styleId="afa">
    <w:basedOn w:val="TableNormal5"/>
    <w:tblPr>
      <w:tblStyleRowBandSize w:val="1"/>
      <w:tblStyleColBandSize w:val="1"/>
    </w:tblPr>
  </w:style>
  <w:style w:type="table" w:customStyle="1" w:styleId="afb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5"/>
    <w:tblPr>
      <w:tblStyleRowBandSize w:val="1"/>
      <w:tblStyleColBandSize w:val="1"/>
    </w:tblPr>
  </w:style>
  <w:style w:type="table" w:customStyle="1" w:styleId="afe">
    <w:basedOn w:val="TableNormal5"/>
    <w:tblPr>
      <w:tblStyleRowBandSize w:val="1"/>
      <w:tblStyleColBandSize w:val="1"/>
    </w:tblPr>
  </w:style>
  <w:style w:type="table" w:customStyle="1" w:styleId="aff">
    <w:basedOn w:val="TableNormal5"/>
    <w:tblPr>
      <w:tblStyleRowBandSize w:val="1"/>
      <w:tblStyleColBandSize w:val="1"/>
    </w:tblPr>
  </w:style>
  <w:style w:type="table" w:customStyle="1" w:styleId="aff0">
    <w:basedOn w:val="TableNormal5"/>
    <w:tblPr>
      <w:tblStyleRowBandSize w:val="1"/>
      <w:tblStyleColBandSize w:val="1"/>
    </w:tblPr>
  </w:style>
  <w:style w:type="table" w:customStyle="1" w:styleId="aff1">
    <w:basedOn w:val="TableNormal5"/>
    <w:tblPr>
      <w:tblStyleRowBandSize w:val="1"/>
      <w:tblStyleColBandSize w:val="1"/>
    </w:tblPr>
  </w:style>
  <w:style w:type="table" w:customStyle="1" w:styleId="aff2">
    <w:basedOn w:val="TableNormal5"/>
    <w:tblPr>
      <w:tblStyleRowBandSize w:val="1"/>
      <w:tblStyleColBandSize w:val="1"/>
    </w:tblPr>
  </w:style>
  <w:style w:type="table" w:customStyle="1" w:styleId="aff3">
    <w:basedOn w:val="TableNormal5"/>
    <w:tblPr>
      <w:tblStyleRowBandSize w:val="1"/>
      <w:tblStyleColBandSize w:val="1"/>
    </w:tblPr>
  </w:style>
  <w:style w:type="table" w:customStyle="1" w:styleId="aff4">
    <w:basedOn w:val="TableNormal5"/>
    <w:tblPr>
      <w:tblStyleRowBandSize w:val="1"/>
      <w:tblStyleColBandSize w:val="1"/>
    </w:tblPr>
  </w:style>
  <w:style w:type="table" w:customStyle="1" w:styleId="aff5">
    <w:basedOn w:val="TableNormal5"/>
    <w:tblPr>
      <w:tblStyleRowBandSize w:val="1"/>
      <w:tblStyleColBandSize w:val="1"/>
    </w:tblPr>
  </w:style>
  <w:style w:type="table" w:customStyle="1" w:styleId="aff6">
    <w:basedOn w:val="TableNormal5"/>
    <w:tblPr>
      <w:tblStyleRowBandSize w:val="1"/>
      <w:tblStyleColBandSize w:val="1"/>
    </w:tblPr>
  </w:style>
  <w:style w:type="table" w:customStyle="1" w:styleId="aff7">
    <w:basedOn w:val="TableNormal5"/>
    <w:tblPr>
      <w:tblStyleRowBandSize w:val="1"/>
      <w:tblStyleColBandSize w:val="1"/>
    </w:tblPr>
  </w:style>
  <w:style w:type="table" w:customStyle="1" w:styleId="aff8">
    <w:basedOn w:val="TableNormal5"/>
    <w:tblPr>
      <w:tblStyleRowBandSize w:val="1"/>
      <w:tblStyleColBandSize w:val="1"/>
    </w:tblPr>
  </w:style>
  <w:style w:type="table" w:customStyle="1" w:styleId="aff9">
    <w:basedOn w:val="TableNormal5"/>
    <w:tblPr>
      <w:tblStyleRowBandSize w:val="1"/>
      <w:tblStyleColBandSize w:val="1"/>
    </w:tblPr>
  </w:style>
  <w:style w:type="table" w:customStyle="1" w:styleId="affa">
    <w:basedOn w:val="TableNormal5"/>
    <w:tblPr>
      <w:tblStyleRowBandSize w:val="1"/>
      <w:tblStyleColBandSize w:val="1"/>
    </w:tblPr>
  </w:style>
  <w:style w:type="table" w:customStyle="1" w:styleId="affb">
    <w:basedOn w:val="TableNormal5"/>
    <w:tblPr>
      <w:tblStyleRowBandSize w:val="1"/>
      <w:tblStyleColBandSize w:val="1"/>
    </w:tblPr>
  </w:style>
  <w:style w:type="table" w:customStyle="1" w:styleId="affc">
    <w:basedOn w:val="TableNormal5"/>
    <w:tblPr>
      <w:tblStyleRowBandSize w:val="1"/>
      <w:tblStyleColBandSize w:val="1"/>
    </w:tblPr>
  </w:style>
  <w:style w:type="table" w:customStyle="1" w:styleId="affd">
    <w:basedOn w:val="TableNormal5"/>
    <w:tblPr>
      <w:tblStyleRowBandSize w:val="1"/>
      <w:tblStyleColBandSize w:val="1"/>
    </w:tblPr>
  </w:style>
  <w:style w:type="table" w:customStyle="1" w:styleId="affe">
    <w:basedOn w:val="TableNormal5"/>
    <w:tblPr>
      <w:tblStyleRowBandSize w:val="1"/>
      <w:tblStyleColBandSize w:val="1"/>
    </w:tblPr>
  </w:style>
  <w:style w:type="table" w:customStyle="1" w:styleId="afff">
    <w:basedOn w:val="TableNormal5"/>
    <w:tblPr>
      <w:tblStyleRowBandSize w:val="1"/>
      <w:tblStyleColBandSize w:val="1"/>
    </w:tblPr>
  </w:style>
  <w:style w:type="table" w:customStyle="1" w:styleId="afff0">
    <w:basedOn w:val="TableNormal5"/>
    <w:tblPr>
      <w:tblStyleRowBandSize w:val="1"/>
      <w:tblStyleColBandSize w:val="1"/>
    </w:tblPr>
  </w:style>
  <w:style w:type="table" w:customStyle="1" w:styleId="afff1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5"/>
    <w:tblPr>
      <w:tblStyleRowBandSize w:val="1"/>
      <w:tblStyleColBandSize w:val="1"/>
    </w:tblPr>
  </w:style>
  <w:style w:type="table" w:customStyle="1" w:styleId="afff5">
    <w:basedOn w:val="TableNormal5"/>
    <w:tblPr>
      <w:tblStyleRowBandSize w:val="1"/>
      <w:tblStyleColBandSize w:val="1"/>
    </w:tblPr>
  </w:style>
  <w:style w:type="table" w:customStyle="1" w:styleId="afff6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5"/>
    <w:tblPr>
      <w:tblStyleRowBandSize w:val="1"/>
      <w:tblStyleColBandSize w:val="1"/>
    </w:tblPr>
  </w:style>
  <w:style w:type="table" w:customStyle="1" w:styleId="afff9">
    <w:basedOn w:val="TableNormal5"/>
    <w:tblPr>
      <w:tblStyleRowBandSize w:val="1"/>
      <w:tblStyleColBandSize w:val="1"/>
    </w:tblPr>
  </w:style>
  <w:style w:type="table" w:customStyle="1" w:styleId="afffa">
    <w:basedOn w:val="TableNormal5"/>
    <w:tblPr>
      <w:tblStyleRowBandSize w:val="1"/>
      <w:tblStyleColBandSize w:val="1"/>
    </w:tblPr>
  </w:style>
  <w:style w:type="table" w:customStyle="1" w:styleId="afffb">
    <w:basedOn w:val="TableNormal5"/>
    <w:tblPr>
      <w:tblStyleRowBandSize w:val="1"/>
      <w:tblStyleColBandSize w:val="1"/>
    </w:tblPr>
  </w:style>
  <w:style w:type="table" w:customStyle="1" w:styleId="afffc">
    <w:basedOn w:val="TableNormal5"/>
    <w:tblPr>
      <w:tblStyleRowBandSize w:val="1"/>
      <w:tblStyleColBandSize w:val="1"/>
    </w:tblPr>
  </w:style>
  <w:style w:type="table" w:customStyle="1" w:styleId="afffd">
    <w:basedOn w:val="TableNormal5"/>
    <w:tblPr>
      <w:tblStyleRowBandSize w:val="1"/>
      <w:tblStyleColBandSize w:val="1"/>
    </w:tblPr>
  </w:style>
  <w:style w:type="table" w:customStyle="1" w:styleId="afffe">
    <w:basedOn w:val="TableNormal5"/>
    <w:tblPr>
      <w:tblStyleRowBandSize w:val="1"/>
      <w:tblStyleColBandSize w:val="1"/>
    </w:tblPr>
  </w:style>
  <w:style w:type="table" w:customStyle="1" w:styleId="affff">
    <w:basedOn w:val="TableNormal5"/>
    <w:tblPr>
      <w:tblStyleRowBandSize w:val="1"/>
      <w:tblStyleColBandSize w:val="1"/>
    </w:tblPr>
  </w:style>
  <w:style w:type="table" w:customStyle="1" w:styleId="affff0">
    <w:basedOn w:val="TableNormal5"/>
    <w:tblPr>
      <w:tblStyleRowBandSize w:val="1"/>
      <w:tblStyleColBandSize w:val="1"/>
    </w:tblPr>
  </w:style>
  <w:style w:type="table" w:customStyle="1" w:styleId="affff1">
    <w:basedOn w:val="TableNormal5"/>
    <w:tblPr>
      <w:tblStyleRowBandSize w:val="1"/>
      <w:tblStyleColBandSize w:val="1"/>
    </w:tblPr>
  </w:style>
  <w:style w:type="table" w:customStyle="1" w:styleId="affff2">
    <w:basedOn w:val="TableNormal5"/>
    <w:tblPr>
      <w:tblStyleRowBandSize w:val="1"/>
      <w:tblStyleColBandSize w:val="1"/>
    </w:tblPr>
  </w:style>
  <w:style w:type="table" w:customStyle="1" w:styleId="affff3">
    <w:basedOn w:val="TableNormal5"/>
    <w:tblPr>
      <w:tblStyleRowBandSize w:val="1"/>
      <w:tblStyleColBandSize w:val="1"/>
    </w:tblPr>
  </w:style>
  <w:style w:type="table" w:customStyle="1" w:styleId="affff4">
    <w:basedOn w:val="TableNormal5"/>
    <w:tblPr>
      <w:tblStyleRowBandSize w:val="1"/>
      <w:tblStyleColBandSize w:val="1"/>
    </w:tblPr>
  </w:style>
  <w:style w:type="table" w:customStyle="1" w:styleId="affff5">
    <w:basedOn w:val="TableNormal5"/>
    <w:tblPr>
      <w:tblStyleRowBandSize w:val="1"/>
      <w:tblStyleColBandSize w:val="1"/>
    </w:tblPr>
  </w:style>
  <w:style w:type="table" w:customStyle="1" w:styleId="affff6">
    <w:basedOn w:val="TableNormal5"/>
    <w:tblPr>
      <w:tblStyleRowBandSize w:val="1"/>
      <w:tblStyleColBandSize w:val="1"/>
    </w:tblPr>
  </w:style>
  <w:style w:type="table" w:customStyle="1" w:styleId="affff7">
    <w:basedOn w:val="TableNormal5"/>
    <w:tblPr>
      <w:tblStyleRowBandSize w:val="1"/>
      <w:tblStyleColBandSize w:val="1"/>
    </w:tblPr>
  </w:style>
  <w:style w:type="table" w:customStyle="1" w:styleId="affff8">
    <w:basedOn w:val="TableNormal5"/>
    <w:tblPr>
      <w:tblStyleRowBandSize w:val="1"/>
      <w:tblStyleColBandSize w:val="1"/>
    </w:tblPr>
  </w:style>
  <w:style w:type="table" w:customStyle="1" w:styleId="affff9">
    <w:basedOn w:val="TableNormal5"/>
    <w:tblPr>
      <w:tblStyleRowBandSize w:val="1"/>
      <w:tblStyleColBandSize w:val="1"/>
    </w:tblPr>
  </w:style>
  <w:style w:type="table" w:customStyle="1" w:styleId="affffa">
    <w:basedOn w:val="TableNormal5"/>
    <w:tblPr>
      <w:tblStyleRowBandSize w:val="1"/>
      <w:tblStyleColBandSize w:val="1"/>
    </w:tblPr>
  </w:style>
  <w:style w:type="table" w:customStyle="1" w:styleId="affffb">
    <w:basedOn w:val="TableNormal5"/>
    <w:tblPr>
      <w:tblStyleRowBandSize w:val="1"/>
      <w:tblStyleColBandSize w:val="1"/>
    </w:tblPr>
  </w:style>
  <w:style w:type="table" w:customStyle="1" w:styleId="affffc">
    <w:basedOn w:val="TableNormal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d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5"/>
    <w:tblPr>
      <w:tblStyleRowBandSize w:val="1"/>
      <w:tblStyleColBandSize w:val="1"/>
    </w:tblPr>
  </w:style>
  <w:style w:type="table" w:customStyle="1" w:styleId="afffff0">
    <w:basedOn w:val="TableNormal5"/>
    <w:tblPr>
      <w:tblStyleRowBandSize w:val="1"/>
      <w:tblStyleColBandSize w:val="1"/>
    </w:tblPr>
  </w:style>
  <w:style w:type="table" w:customStyle="1" w:styleId="afffff1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5"/>
    <w:tblPr>
      <w:tblStyleRowBandSize w:val="1"/>
      <w:tblStyleColBandSize w:val="1"/>
    </w:tblPr>
  </w:style>
  <w:style w:type="table" w:customStyle="1" w:styleId="afffff4">
    <w:basedOn w:val="TableNormal5"/>
    <w:tblPr>
      <w:tblStyleRowBandSize w:val="1"/>
      <w:tblStyleColBandSize w:val="1"/>
    </w:tblPr>
  </w:style>
  <w:style w:type="table" w:customStyle="1" w:styleId="afffff5">
    <w:basedOn w:val="TableNormal5"/>
    <w:tblPr>
      <w:tblStyleRowBandSize w:val="1"/>
      <w:tblStyleColBandSize w:val="1"/>
    </w:tblPr>
  </w:style>
  <w:style w:type="table" w:customStyle="1" w:styleId="afffff6">
    <w:basedOn w:val="TableNormal5"/>
    <w:tblPr>
      <w:tblStyleRowBandSize w:val="1"/>
      <w:tblStyleColBandSize w:val="1"/>
    </w:tblPr>
  </w:style>
  <w:style w:type="table" w:customStyle="1" w:styleId="afffff7">
    <w:basedOn w:val="TableNormal5"/>
    <w:tblPr>
      <w:tblStyleRowBandSize w:val="1"/>
      <w:tblStyleColBandSize w:val="1"/>
    </w:tblPr>
  </w:style>
  <w:style w:type="table" w:customStyle="1" w:styleId="afffff8">
    <w:basedOn w:val="TableNormal5"/>
    <w:tblPr>
      <w:tblStyleRowBandSize w:val="1"/>
      <w:tblStyleColBandSize w:val="1"/>
    </w:tblPr>
  </w:style>
  <w:style w:type="table" w:customStyle="1" w:styleId="afffff9">
    <w:basedOn w:val="TableNormal5"/>
    <w:tblPr>
      <w:tblStyleRowBandSize w:val="1"/>
      <w:tblStyleColBandSize w:val="1"/>
    </w:tblPr>
  </w:style>
  <w:style w:type="table" w:customStyle="1" w:styleId="afffffa">
    <w:basedOn w:val="TableNormal5"/>
    <w:tblPr>
      <w:tblStyleRowBandSize w:val="1"/>
      <w:tblStyleColBandSize w:val="1"/>
    </w:tblPr>
  </w:style>
  <w:style w:type="table" w:customStyle="1" w:styleId="afffffb">
    <w:basedOn w:val="TableNormal5"/>
    <w:tblPr>
      <w:tblStyleRowBandSize w:val="1"/>
      <w:tblStyleColBandSize w:val="1"/>
    </w:tblPr>
  </w:style>
  <w:style w:type="table" w:customStyle="1" w:styleId="afffffc">
    <w:basedOn w:val="TableNormal5"/>
    <w:tblPr>
      <w:tblStyleRowBandSize w:val="1"/>
      <w:tblStyleColBandSize w:val="1"/>
    </w:tblPr>
  </w:style>
  <w:style w:type="table" w:customStyle="1" w:styleId="afffffd">
    <w:basedOn w:val="TableNormal5"/>
    <w:tblPr>
      <w:tblStyleRowBandSize w:val="1"/>
      <w:tblStyleColBandSize w:val="1"/>
    </w:tblPr>
  </w:style>
  <w:style w:type="table" w:customStyle="1" w:styleId="afffffe">
    <w:basedOn w:val="TableNormal5"/>
    <w:tblPr>
      <w:tblStyleRowBandSize w:val="1"/>
      <w:tblStyleColBandSize w:val="1"/>
    </w:tblPr>
  </w:style>
  <w:style w:type="table" w:customStyle="1" w:styleId="affffff">
    <w:basedOn w:val="TableNormal5"/>
    <w:tblPr>
      <w:tblStyleRowBandSize w:val="1"/>
      <w:tblStyleColBandSize w:val="1"/>
    </w:tblPr>
  </w:style>
  <w:style w:type="table" w:customStyle="1" w:styleId="affffff0">
    <w:basedOn w:val="TableNormal5"/>
    <w:tblPr>
      <w:tblStyleRowBandSize w:val="1"/>
      <w:tblStyleColBandSize w:val="1"/>
    </w:tblPr>
  </w:style>
  <w:style w:type="table" w:customStyle="1" w:styleId="affffff1">
    <w:basedOn w:val="TableNormal5"/>
    <w:tblPr>
      <w:tblStyleRowBandSize w:val="1"/>
      <w:tblStyleColBandSize w:val="1"/>
    </w:tblPr>
  </w:style>
  <w:style w:type="numbering" w:customStyle="1" w:styleId="CurrentList1">
    <w:name w:val="Current List1"/>
    <w:uiPriority w:val="99"/>
    <w:rsid w:val="004F6EA6"/>
  </w:style>
  <w:style w:type="table" w:customStyle="1" w:styleId="affffff2">
    <w:basedOn w:val="Tablanormal"/>
    <w:tblPr>
      <w:tblStyleRowBandSize w:val="1"/>
      <w:tblStyleColBandSize w:val="1"/>
    </w:tblPr>
  </w:style>
  <w:style w:type="table" w:customStyle="1" w:styleId="affffff3">
    <w:basedOn w:val="Tablanormal"/>
    <w:tblPr>
      <w:tblStyleRowBandSize w:val="1"/>
      <w:tblStyleColBandSize w:val="1"/>
    </w:tblPr>
  </w:style>
  <w:style w:type="table" w:customStyle="1" w:styleId="affffff4">
    <w:basedOn w:val="Tablanormal"/>
    <w:tblPr>
      <w:tblStyleRowBandSize w:val="1"/>
      <w:tblStyleColBandSize w:val="1"/>
    </w:tblPr>
  </w:style>
  <w:style w:type="table" w:customStyle="1" w:styleId="affffff5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8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9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anormal"/>
    <w:tblPr>
      <w:tblStyleRowBandSize w:val="1"/>
      <w:tblStyleColBandSize w:val="1"/>
    </w:tblPr>
  </w:style>
  <w:style w:type="table" w:customStyle="1" w:styleId="affffffc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d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e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anormal"/>
    <w:tblPr>
      <w:tblStyleRowBandSize w:val="1"/>
      <w:tblStyleColBandSize w:val="1"/>
    </w:tblPr>
  </w:style>
  <w:style w:type="table" w:customStyle="1" w:styleId="afffffff8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anormal"/>
    <w:tblPr>
      <w:tblStyleRowBandSize w:val="1"/>
      <w:tblStyleColBandSize w:val="1"/>
    </w:tblPr>
  </w:style>
  <w:style w:type="table" w:customStyle="1" w:styleId="afffffffe">
    <w:basedOn w:val="Tablanormal"/>
    <w:tblPr>
      <w:tblStyleRowBandSize w:val="1"/>
      <w:tblStyleColBandSize w:val="1"/>
    </w:tblPr>
  </w:style>
  <w:style w:type="table" w:customStyle="1" w:styleId="affffffff">
    <w:basedOn w:val="Tablanormal"/>
    <w:tblPr>
      <w:tblStyleRowBandSize w:val="1"/>
      <w:tblStyleColBandSize w:val="1"/>
    </w:tblPr>
  </w:style>
  <w:style w:type="table" w:customStyle="1" w:styleId="affffffff0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3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4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5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anormal"/>
    <w:tblPr>
      <w:tblStyleRowBandSize w:val="1"/>
      <w:tblStyleColBandSize w:val="1"/>
    </w:tblPr>
  </w:style>
  <w:style w:type="table" w:customStyle="1" w:styleId="affffffff7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8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9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anormal"/>
    <w:tblPr>
      <w:tblStyleRowBandSize w:val="1"/>
      <w:tblStyleColBandSize w:val="1"/>
    </w:tblPr>
  </w:style>
  <w:style w:type="table" w:customStyle="1" w:styleId="afffffffff3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anormal"/>
    <w:tblPr>
      <w:tblStyleRowBandSize w:val="1"/>
      <w:tblStyleColBandSize w:val="1"/>
    </w:tblPr>
  </w:style>
  <w:style w:type="table" w:customStyle="1" w:styleId="afffffffff9">
    <w:basedOn w:val="Tablanormal"/>
    <w:rPr>
      <w:rFonts w:ascii="Arial" w:eastAsia="Arial" w:hAnsi="Arial" w:cs="Arial"/>
      <w:color w:val="000000"/>
    </w:rPr>
    <w:tblPr>
      <w:tblStyleRowBandSize w:val="1"/>
      <w:tblStyleColBandSize w:val="1"/>
    </w:tblPr>
    <w:tblStylePr w:type="firstRow">
      <w:rPr>
        <w:b w:val="0"/>
        <w:bCs w:val="0"/>
        <w:i w:val="0"/>
        <w:iCs w:val="0"/>
      </w:rPr>
    </w:tblStylePr>
    <w:tblStylePr w:type="lastRow">
      <w:rPr>
        <w:b w:val="0"/>
        <w:bCs w:val="0"/>
        <w:i w:val="0"/>
        <w:iCs w:val="0"/>
      </w:rPr>
    </w:tblStylePr>
    <w:tblStylePr w:type="firstCol">
      <w:rPr>
        <w:b w:val="0"/>
        <w:bCs w:val="0"/>
        <w:i w:val="0"/>
        <w:iCs w:val="0"/>
      </w:rPr>
    </w:tblStylePr>
    <w:tblStylePr w:type="lastCol">
      <w:rPr>
        <w:b w:val="0"/>
        <w:bCs w:val="0"/>
        <w:i w:val="0"/>
        <w:iCs w:val="0"/>
      </w:rPr>
    </w:tblStylePr>
    <w:tblStylePr w:type="band1Vert">
      <w:rPr>
        <w:b w:val="0"/>
        <w:bCs w:val="0"/>
        <w:i w:val="0"/>
        <w:iCs w:val="0"/>
      </w:rPr>
    </w:tblStylePr>
    <w:tblStylePr w:type="band2Vert">
      <w:rPr>
        <w:b w:val="0"/>
        <w:bCs w:val="0"/>
        <w:i w:val="0"/>
        <w:iCs w:val="0"/>
      </w:rPr>
    </w:tblStylePr>
    <w:tblStylePr w:type="band1Horz">
      <w:rPr>
        <w:b w:val="0"/>
        <w:bCs w:val="0"/>
        <w:i w:val="0"/>
        <w:iCs w:val="0"/>
      </w:rPr>
    </w:tblStylePr>
    <w:tblStylePr w:type="band2Horz">
      <w:rPr>
        <w:b w:val="0"/>
        <w:bCs w:val="0"/>
        <w:i w:val="0"/>
        <w:iCs w:val="0"/>
      </w:rPr>
    </w:tblStylePr>
    <w:tblStylePr w:type="neCell">
      <w:rPr>
        <w:b w:val="0"/>
        <w:bCs w:val="0"/>
        <w:i w:val="0"/>
        <w:iCs w:val="0"/>
      </w:rPr>
    </w:tblStylePr>
    <w:tblStylePr w:type="nwCell">
      <w:rPr>
        <w:b w:val="0"/>
        <w:bCs w:val="0"/>
        <w:i w:val="0"/>
        <w:iCs w:val="0"/>
      </w:rPr>
    </w:tblStylePr>
    <w:tblStylePr w:type="seCell">
      <w:rPr>
        <w:b w:val="0"/>
        <w:bCs w:val="0"/>
        <w:i w:val="0"/>
        <w:iCs w:val="0"/>
      </w:rPr>
    </w:tblStylePr>
    <w:tblStylePr w:type="swCell">
      <w:rPr>
        <w:b w:val="0"/>
        <w:bCs w:val="0"/>
        <w:i w:val="0"/>
        <w:iCs w:val="0"/>
      </w:rPr>
    </w:tblStylePr>
  </w:style>
  <w:style w:type="table" w:customStyle="1" w:styleId="afffffffffa">
    <w:basedOn w:val="Tablanormal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Arial" w:eastAsia="Arial" w:hAnsi="Arial" w:cs="Arial"/>
      <w:b/>
      <w:bCs/>
      <w:color w:val="6AA84F"/>
      <w:sz w:val="24"/>
      <w:szCs w:val="24"/>
    </w:rPr>
  </w:style>
  <w:style w:type="table" w:customStyle="1" w:styleId="afffffffffb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anormal"/>
    <w:tblPr>
      <w:tblStyleRowBandSize w:val="1"/>
      <w:tblStyleColBandSize w:val="1"/>
    </w:tblPr>
  </w:style>
  <w:style w:type="table" w:customStyle="1" w:styleId="affffffffff1">
    <w:basedOn w:val="Tablanormal"/>
    <w:rPr>
      <w:rFonts w:ascii="Arial" w:eastAsia="Arial" w:hAnsi="Arial" w:cs="Arial"/>
      <w:color w:val="000000"/>
    </w:rPr>
    <w:tblPr>
      <w:tblStyleRowBandSize w:val="1"/>
      <w:tblStyleColBandSize w:val="1"/>
    </w:tblPr>
    <w:tblStylePr w:type="firstRow">
      <w:rPr>
        <w:b w:val="0"/>
        <w:bCs w:val="0"/>
        <w:i w:val="0"/>
        <w:iCs w:val="0"/>
      </w:rPr>
    </w:tblStylePr>
    <w:tblStylePr w:type="lastRow">
      <w:rPr>
        <w:b w:val="0"/>
        <w:bCs w:val="0"/>
        <w:i w:val="0"/>
        <w:iCs w:val="0"/>
      </w:rPr>
    </w:tblStylePr>
    <w:tblStylePr w:type="firstCol">
      <w:rPr>
        <w:b w:val="0"/>
        <w:bCs w:val="0"/>
        <w:i w:val="0"/>
        <w:iCs w:val="0"/>
      </w:rPr>
    </w:tblStylePr>
    <w:tblStylePr w:type="lastCol">
      <w:rPr>
        <w:b w:val="0"/>
        <w:bCs w:val="0"/>
        <w:i w:val="0"/>
        <w:iCs w:val="0"/>
      </w:rPr>
    </w:tblStylePr>
    <w:tblStylePr w:type="band1Vert">
      <w:rPr>
        <w:b w:val="0"/>
        <w:bCs w:val="0"/>
        <w:i w:val="0"/>
        <w:iCs w:val="0"/>
      </w:rPr>
    </w:tblStylePr>
    <w:tblStylePr w:type="band2Vert">
      <w:rPr>
        <w:b w:val="0"/>
        <w:bCs w:val="0"/>
        <w:i w:val="0"/>
        <w:iCs w:val="0"/>
      </w:rPr>
    </w:tblStylePr>
    <w:tblStylePr w:type="band1Horz">
      <w:rPr>
        <w:b w:val="0"/>
        <w:bCs w:val="0"/>
        <w:i w:val="0"/>
        <w:iCs w:val="0"/>
      </w:rPr>
    </w:tblStylePr>
    <w:tblStylePr w:type="band2Horz">
      <w:rPr>
        <w:b w:val="0"/>
        <w:bCs w:val="0"/>
        <w:i w:val="0"/>
        <w:iCs w:val="0"/>
      </w:rPr>
    </w:tblStylePr>
    <w:tblStylePr w:type="neCell">
      <w:rPr>
        <w:b w:val="0"/>
        <w:bCs w:val="0"/>
        <w:i w:val="0"/>
        <w:iCs w:val="0"/>
      </w:rPr>
    </w:tblStylePr>
    <w:tblStylePr w:type="nwCell">
      <w:rPr>
        <w:b w:val="0"/>
        <w:bCs w:val="0"/>
        <w:i w:val="0"/>
        <w:iCs w:val="0"/>
      </w:rPr>
    </w:tblStylePr>
    <w:tblStylePr w:type="seCell">
      <w:rPr>
        <w:b w:val="0"/>
        <w:bCs w:val="0"/>
        <w:i w:val="0"/>
        <w:iCs w:val="0"/>
      </w:rPr>
    </w:tblStylePr>
    <w:tblStylePr w:type="swCell">
      <w:rPr>
        <w:b w:val="0"/>
        <w:bCs w:val="0"/>
        <w:i w:val="0"/>
        <w:iCs w:val="0"/>
      </w:rPr>
    </w:tblStylePr>
  </w:style>
  <w:style w:type="table" w:customStyle="1" w:styleId="affffffffff2">
    <w:basedOn w:val="Tab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Q5I64UHGiLdFYXIwjWVKD9YWYQ==">CgMxLjAaHwoBMBIaChgICVIUChJ0YWJsZS5zdTVicWR1MDUxY2MaHwoBMRIaChgICVIUChJ0YWJsZS52cnFpdWtmczR2N2waHwoBMhIaChgICVIUChJ0YWJsZS41ZTEwYmVrNWo3bnEaHwoBMxIaChgICVIUChJ0YWJsZS5rcG5wYmJ0dXRkNGcyDmguaW4yanpiYmZ5NXA1Mg5oLmRsdGlmcXk1NHA2ZzIOaC44djJnNWhlbmd6dTYyDmguYm44ajJwcWFoOXFrMg5oLmR0aW5rMDZiZW5teTgAciExQjcwVDUzQmlid1ctWFhkbF9rZ1ZRdGxOalh4UEFWc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3562</Words>
  <Characters>19596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Rosa</cp:lastModifiedBy>
  <cp:revision>2</cp:revision>
  <dcterms:created xsi:type="dcterms:W3CDTF">2026-02-06T17:19:00Z</dcterms:created>
  <dcterms:modified xsi:type="dcterms:W3CDTF">2026-02-06T17:19:00Z</dcterms:modified>
</cp:coreProperties>
</file>